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28B5D"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3B492256" w14:textId="77777777" w:rsidR="00FE3597" w:rsidRPr="00DE24F8" w:rsidRDefault="00FE3597" w:rsidP="00FE3597">
      <w:pPr>
        <w:spacing w:line="240" w:lineRule="auto"/>
        <w:jc w:val="center"/>
        <w:rPr>
          <w:rFonts w:asciiTheme="majorBidi" w:eastAsia="Times New Roman" w:hAnsiTheme="majorBidi" w:cstheme="majorBidi"/>
          <w:b/>
          <w:bCs/>
          <w:sz w:val="28"/>
          <w:szCs w:val="28"/>
        </w:rPr>
      </w:pPr>
    </w:p>
    <w:p w14:paraId="7FB715E1" w14:textId="77777777" w:rsidR="00EB4623" w:rsidRPr="003D1197" w:rsidRDefault="00EB4623" w:rsidP="00EB4623">
      <w:pPr>
        <w:spacing w:line="240" w:lineRule="auto"/>
        <w:jc w:val="center"/>
        <w:rPr>
          <w:rFonts w:asciiTheme="majorBidi" w:eastAsia="Times New Roman" w:hAnsiTheme="majorBidi" w:cstheme="majorBidi"/>
          <w:b/>
          <w:bCs/>
          <w:sz w:val="32"/>
          <w:szCs w:val="32"/>
        </w:rPr>
      </w:pPr>
      <w:r w:rsidRPr="003D1197">
        <w:rPr>
          <w:rFonts w:asciiTheme="majorBidi" w:eastAsia="Times New Roman" w:hAnsiTheme="majorBidi" w:cstheme="majorBidi"/>
          <w:b/>
          <w:bCs/>
          <w:sz w:val="32"/>
          <w:szCs w:val="32"/>
        </w:rPr>
        <w:t>IA et blockchain : renforcer la traçabilité durable et la consommation responsable dans l’agroalimentaire</w:t>
      </w:r>
    </w:p>
    <w:p w14:paraId="2DCF545F" w14:textId="77777777" w:rsidR="00EB4623" w:rsidRPr="003D1197" w:rsidRDefault="00EB4623" w:rsidP="00EB4623">
      <w:pPr>
        <w:spacing w:line="240" w:lineRule="auto"/>
        <w:jc w:val="center"/>
        <w:rPr>
          <w:rFonts w:asciiTheme="majorBidi" w:eastAsia="Times New Roman" w:hAnsiTheme="majorBidi" w:cstheme="majorBidi"/>
          <w:b/>
          <w:bCs/>
          <w:sz w:val="32"/>
          <w:szCs w:val="32"/>
        </w:rPr>
      </w:pPr>
    </w:p>
    <w:p w14:paraId="05E48F44" w14:textId="77777777" w:rsidR="00EB4623" w:rsidRPr="003D1197" w:rsidRDefault="00EB4623" w:rsidP="00EB4623">
      <w:pPr>
        <w:spacing w:line="240" w:lineRule="auto"/>
        <w:jc w:val="center"/>
        <w:rPr>
          <w:rFonts w:asciiTheme="majorBidi" w:eastAsia="Times New Roman" w:hAnsiTheme="majorBidi" w:cstheme="majorBidi"/>
          <w:b/>
          <w:bCs/>
          <w:sz w:val="32"/>
          <w:szCs w:val="32"/>
          <w:lang w:val="en-US"/>
        </w:rPr>
      </w:pPr>
      <w:r w:rsidRPr="003D1197">
        <w:rPr>
          <w:rFonts w:asciiTheme="majorBidi" w:eastAsia="Times New Roman" w:hAnsiTheme="majorBidi" w:cstheme="majorBidi"/>
          <w:b/>
          <w:bCs/>
          <w:sz w:val="32"/>
          <w:szCs w:val="32"/>
          <w:lang w:val="en-US"/>
        </w:rPr>
        <w:t>AI and Blockchain: Enhancing Sustainable Traceability and Responsible Consumption in the Agri-Food Sector</w:t>
      </w:r>
    </w:p>
    <w:p w14:paraId="2C58D382" w14:textId="77777777" w:rsidR="00EB4623" w:rsidRPr="003D1197" w:rsidRDefault="00EB4623" w:rsidP="00EB4623">
      <w:pPr>
        <w:spacing w:line="240" w:lineRule="auto"/>
        <w:rPr>
          <w:rFonts w:asciiTheme="majorBidi" w:hAnsiTheme="majorBidi" w:cstheme="majorBidi"/>
          <w:b/>
          <w:bCs/>
          <w:sz w:val="24"/>
          <w:szCs w:val="24"/>
          <w:lang w:val="en-US"/>
        </w:rPr>
      </w:pPr>
    </w:p>
    <w:p w14:paraId="66B6F7B8" w14:textId="77777777" w:rsidR="00EB4623" w:rsidRPr="003D1197" w:rsidRDefault="00EB4623" w:rsidP="00EB4623">
      <w:pPr>
        <w:spacing w:line="240" w:lineRule="auto"/>
        <w:jc w:val="center"/>
        <w:rPr>
          <w:rFonts w:asciiTheme="majorBidi" w:hAnsiTheme="majorBidi" w:cstheme="majorBidi"/>
          <w:b/>
          <w:bCs/>
          <w:sz w:val="24"/>
          <w:szCs w:val="24"/>
          <w:lang w:val="en-US"/>
        </w:rPr>
      </w:pPr>
    </w:p>
    <w:p w14:paraId="4F5FBAED" w14:textId="77777777" w:rsidR="003D1197" w:rsidRPr="00DE24F8" w:rsidRDefault="003D1197" w:rsidP="003D1197">
      <w:pPr>
        <w:spacing w:line="240" w:lineRule="auto"/>
        <w:jc w:val="center"/>
        <w:rPr>
          <w:rFonts w:asciiTheme="majorBidi" w:hAnsiTheme="majorBidi" w:cstheme="majorBidi"/>
          <w:b/>
          <w:bCs/>
          <w:sz w:val="24"/>
          <w:szCs w:val="24"/>
        </w:rPr>
      </w:pPr>
    </w:p>
    <w:p w14:paraId="2692E406" w14:textId="77777777" w:rsidR="003D1197" w:rsidRPr="00DE24F8" w:rsidRDefault="003D1197" w:rsidP="003D1197">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KHEMAKHEM </w:t>
      </w:r>
      <w:proofErr w:type="spellStart"/>
      <w:r>
        <w:rPr>
          <w:rFonts w:asciiTheme="majorBidi" w:hAnsiTheme="majorBidi" w:cstheme="majorBidi"/>
          <w:b/>
          <w:bCs/>
          <w:sz w:val="24"/>
          <w:szCs w:val="24"/>
        </w:rPr>
        <w:t>Romdhane</w:t>
      </w:r>
      <w:proofErr w:type="spellEnd"/>
    </w:p>
    <w:p w14:paraId="6C42906B" w14:textId="77777777" w:rsidR="003D1197" w:rsidRDefault="003D1197" w:rsidP="003D1197">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Professeur universitaire </w:t>
      </w:r>
    </w:p>
    <w:p w14:paraId="50AB5BB2" w14:textId="77777777" w:rsidR="003D1197" w:rsidRPr="00DE24F8" w:rsidRDefault="003D1197" w:rsidP="003D1197">
      <w:pPr>
        <w:spacing w:line="240" w:lineRule="auto"/>
        <w:jc w:val="center"/>
        <w:rPr>
          <w:rFonts w:asciiTheme="majorBidi" w:hAnsiTheme="majorBidi" w:cstheme="majorBidi"/>
          <w:sz w:val="24"/>
          <w:szCs w:val="24"/>
        </w:rPr>
      </w:pPr>
      <w:r>
        <w:rPr>
          <w:rFonts w:asciiTheme="majorBidi" w:hAnsiTheme="majorBidi" w:cstheme="majorBidi"/>
          <w:sz w:val="24"/>
          <w:szCs w:val="24"/>
        </w:rPr>
        <w:t>Faculté des Sciences Economiques et de Gestion de Sfax (FSEG)</w:t>
      </w:r>
    </w:p>
    <w:p w14:paraId="58E99B32" w14:textId="77777777" w:rsidR="003D1197" w:rsidRPr="00DE24F8" w:rsidRDefault="003D1197" w:rsidP="003D1197">
      <w:pPr>
        <w:spacing w:line="240" w:lineRule="auto"/>
        <w:jc w:val="center"/>
        <w:rPr>
          <w:rFonts w:asciiTheme="majorBidi" w:hAnsiTheme="majorBidi" w:cstheme="majorBidi"/>
          <w:sz w:val="24"/>
          <w:szCs w:val="24"/>
        </w:rPr>
      </w:pPr>
      <w:r>
        <w:rPr>
          <w:rFonts w:asciiTheme="majorBidi" w:hAnsiTheme="majorBidi" w:cstheme="majorBidi"/>
          <w:sz w:val="24"/>
          <w:szCs w:val="24"/>
        </w:rPr>
        <w:t>Université de Sfax, Tunisie</w:t>
      </w:r>
    </w:p>
    <w:p w14:paraId="14F3BDB6" w14:textId="77777777" w:rsidR="003D1197" w:rsidRPr="00DE24F8" w:rsidRDefault="003D1197" w:rsidP="003D1197">
      <w:pPr>
        <w:spacing w:line="240" w:lineRule="auto"/>
        <w:jc w:val="center"/>
        <w:rPr>
          <w:rFonts w:asciiTheme="majorBidi" w:hAnsiTheme="majorBidi" w:cstheme="majorBidi"/>
          <w:sz w:val="24"/>
          <w:szCs w:val="24"/>
        </w:rPr>
      </w:pPr>
      <w:r>
        <w:rPr>
          <w:rFonts w:asciiTheme="majorBidi" w:hAnsiTheme="majorBidi" w:cstheme="majorBidi"/>
          <w:sz w:val="24"/>
          <w:szCs w:val="24"/>
        </w:rPr>
        <w:t>Laboratoire de Recherche en Marketing (LRM)</w:t>
      </w:r>
    </w:p>
    <w:p w14:paraId="65C19BD9" w14:textId="77777777" w:rsidR="003D1197" w:rsidRDefault="003D1197" w:rsidP="003D1197">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romdhane.khemakhem@fsegs.usf.tn</w:t>
      </w:r>
    </w:p>
    <w:p w14:paraId="144A315A" w14:textId="77777777" w:rsidR="00EB4623" w:rsidRPr="003D1197" w:rsidRDefault="00EB4623" w:rsidP="00EB4623">
      <w:pPr>
        <w:spacing w:line="240" w:lineRule="auto"/>
        <w:jc w:val="center"/>
        <w:rPr>
          <w:rFonts w:asciiTheme="majorBidi" w:hAnsiTheme="majorBidi" w:cstheme="majorBidi"/>
          <w:b/>
          <w:bCs/>
          <w:sz w:val="24"/>
          <w:szCs w:val="24"/>
          <w:lang w:val="en-US"/>
        </w:rPr>
      </w:pPr>
    </w:p>
    <w:p w14:paraId="7D54058F" w14:textId="77777777" w:rsidR="00EB4623" w:rsidRPr="003D1197" w:rsidRDefault="00EB4623" w:rsidP="00EB4623">
      <w:pPr>
        <w:spacing w:line="240" w:lineRule="auto"/>
        <w:jc w:val="center"/>
        <w:rPr>
          <w:rFonts w:asciiTheme="majorBidi" w:hAnsiTheme="majorBidi" w:cstheme="majorBidi"/>
          <w:b/>
          <w:bCs/>
          <w:sz w:val="24"/>
          <w:szCs w:val="24"/>
          <w:lang w:val="en-US"/>
        </w:rPr>
      </w:pPr>
    </w:p>
    <w:p w14:paraId="1B66442D" w14:textId="77777777" w:rsidR="00EB4623" w:rsidRPr="00DE24F8" w:rsidRDefault="00EB4623" w:rsidP="00EB4623">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DOUZI </w:t>
      </w:r>
      <w:proofErr w:type="spellStart"/>
      <w:r>
        <w:rPr>
          <w:rFonts w:asciiTheme="majorBidi" w:hAnsiTheme="majorBidi" w:cstheme="majorBidi"/>
          <w:b/>
          <w:bCs/>
          <w:sz w:val="24"/>
          <w:szCs w:val="24"/>
        </w:rPr>
        <w:t>Souha</w:t>
      </w:r>
      <w:proofErr w:type="spellEnd"/>
    </w:p>
    <w:p w14:paraId="3D522453" w14:textId="77777777" w:rsidR="009C0839" w:rsidRPr="00DE24F8" w:rsidRDefault="00B800D0"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Doctorante en marketing</w:t>
      </w:r>
    </w:p>
    <w:p w14:paraId="134863EA" w14:textId="77777777" w:rsidR="00387B54" w:rsidRPr="00DE24F8" w:rsidRDefault="00C84BCD"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Faculté des Sciences Economiques et de Gestion de Sfax (FSEG)</w:t>
      </w:r>
    </w:p>
    <w:p w14:paraId="5B2DC0BA" w14:textId="77777777" w:rsidR="00B55E22" w:rsidRPr="00DE24F8" w:rsidRDefault="00B55E22" w:rsidP="00B55E22">
      <w:pPr>
        <w:spacing w:line="240" w:lineRule="auto"/>
        <w:jc w:val="center"/>
        <w:rPr>
          <w:rFonts w:asciiTheme="majorBidi" w:hAnsiTheme="majorBidi" w:cstheme="majorBidi"/>
          <w:sz w:val="24"/>
          <w:szCs w:val="24"/>
        </w:rPr>
      </w:pPr>
      <w:r>
        <w:rPr>
          <w:rFonts w:asciiTheme="majorBidi" w:hAnsiTheme="majorBidi" w:cstheme="majorBidi"/>
          <w:sz w:val="24"/>
          <w:szCs w:val="24"/>
        </w:rPr>
        <w:t>Université de Sfax, Tunisie</w:t>
      </w:r>
    </w:p>
    <w:p w14:paraId="05478CAB" w14:textId="77777777" w:rsidR="009C0839" w:rsidRPr="00DE24F8" w:rsidRDefault="00FE3597" w:rsidP="00DE24F8">
      <w:pPr>
        <w:spacing w:line="240" w:lineRule="auto"/>
        <w:jc w:val="center"/>
        <w:rPr>
          <w:rFonts w:asciiTheme="majorBidi" w:hAnsiTheme="majorBidi" w:cstheme="majorBidi"/>
          <w:sz w:val="24"/>
          <w:szCs w:val="24"/>
        </w:rPr>
      </w:pPr>
      <w:r>
        <w:rPr>
          <w:rFonts w:asciiTheme="majorBidi" w:hAnsiTheme="majorBidi" w:cstheme="majorBidi"/>
          <w:sz w:val="24"/>
          <w:szCs w:val="24"/>
        </w:rPr>
        <w:t>Laboratoire de Recherche en Marketing (LRM)</w:t>
      </w:r>
    </w:p>
    <w:p w14:paraId="24EC4195" w14:textId="77777777" w:rsidR="00C84BCD" w:rsidRPr="00DE24F8" w:rsidRDefault="00C84BCD" w:rsidP="00DE24F8">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Souhadouzi16@gmail.com</w:t>
      </w:r>
    </w:p>
    <w:p w14:paraId="169CB338" w14:textId="77777777" w:rsidR="00FE3597" w:rsidRPr="00DE24F8" w:rsidRDefault="00FE3597" w:rsidP="00DE24F8">
      <w:pPr>
        <w:spacing w:line="240" w:lineRule="auto"/>
        <w:jc w:val="center"/>
        <w:rPr>
          <w:rFonts w:asciiTheme="majorBidi" w:hAnsiTheme="majorBidi" w:cstheme="majorBidi"/>
          <w:b/>
          <w:bCs/>
          <w:sz w:val="24"/>
          <w:szCs w:val="24"/>
        </w:rPr>
      </w:pPr>
    </w:p>
    <w:p w14:paraId="149426C4" w14:textId="77777777" w:rsidR="00DE24F8" w:rsidRPr="00DE24F8" w:rsidRDefault="00DE24F8" w:rsidP="00DE24F8">
      <w:pPr>
        <w:spacing w:line="240" w:lineRule="auto"/>
        <w:jc w:val="center"/>
        <w:rPr>
          <w:rFonts w:asciiTheme="majorBidi" w:hAnsiTheme="majorBidi" w:cstheme="majorBidi"/>
          <w:b/>
          <w:bCs/>
          <w:sz w:val="24"/>
          <w:szCs w:val="24"/>
        </w:rPr>
      </w:pPr>
    </w:p>
    <w:p w14:paraId="682C13A0" w14:textId="77777777" w:rsidR="009C2E2B" w:rsidRPr="009C2E2B" w:rsidRDefault="009C2E2B" w:rsidP="009C2E2B">
      <w:pPr>
        <w:spacing w:line="240" w:lineRule="auto"/>
        <w:jc w:val="center"/>
        <w:rPr>
          <w:rFonts w:asciiTheme="majorBidi" w:hAnsiTheme="majorBidi" w:cstheme="majorBidi"/>
          <w:b/>
          <w:bCs/>
          <w:sz w:val="24"/>
          <w:szCs w:val="24"/>
        </w:rPr>
      </w:pPr>
    </w:p>
    <w:p w14:paraId="0FE46FD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49A2C0B4"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03C78512" w14:textId="77777777" w:rsidR="00FE3597" w:rsidRPr="00DE24F8" w:rsidRDefault="00FE3597" w:rsidP="00FE3597">
      <w:pPr>
        <w:tabs>
          <w:tab w:val="center" w:pos="4513"/>
        </w:tabs>
        <w:rPr>
          <w:rFonts w:asciiTheme="majorBidi" w:eastAsia="Times New Roman" w:hAnsiTheme="majorBidi" w:cstheme="majorBidi"/>
          <w:b/>
          <w:bCs/>
          <w:sz w:val="20"/>
          <w:szCs w:val="20"/>
        </w:rPr>
      </w:pPr>
    </w:p>
    <w:p w14:paraId="1848C88D" w14:textId="77777777" w:rsidR="00FE3597" w:rsidRPr="00DE24F8" w:rsidRDefault="00FE3597" w:rsidP="00FE3597">
      <w:pPr>
        <w:tabs>
          <w:tab w:val="center" w:pos="4513"/>
        </w:tabs>
        <w:rPr>
          <w:rFonts w:asciiTheme="majorBidi" w:eastAsia="Times New Roman" w:hAnsiTheme="majorBidi" w:cstheme="majorBidi"/>
          <w:sz w:val="24"/>
          <w:szCs w:val="24"/>
        </w:rPr>
      </w:pPr>
      <w:r>
        <w:rPr>
          <w:rFonts w:asciiTheme="majorBidi" w:eastAsia="Times New Roman" w:hAnsiTheme="majorBidi" w:cstheme="majorBidi"/>
          <w:b/>
          <w:bCs/>
          <w:sz w:val="20"/>
          <w:szCs w:val="20"/>
        </w:rPr>
        <w:t>Date de soumission</w:t>
      </w:r>
      <w:r>
        <w:rPr>
          <w:rFonts w:asciiTheme="majorBidi" w:eastAsia="Times New Roman" w:hAnsiTheme="majorBidi" w:cstheme="majorBidi"/>
          <w:sz w:val="20"/>
          <w:szCs w:val="20"/>
        </w:rPr>
        <w:t xml:space="preserve"> : xx/xx/xxxx </w:t>
      </w:r>
      <w:r>
        <w:rPr>
          <w:rFonts w:asciiTheme="majorBidi" w:eastAsia="Times New Roman" w:hAnsiTheme="majorBidi" w:cstheme="majorBidi"/>
          <w:sz w:val="20"/>
          <w:szCs w:val="20"/>
        </w:rPr>
        <w:tab/>
      </w:r>
    </w:p>
    <w:p w14:paraId="3B4287DD" w14:textId="77777777" w:rsidR="00FE3597" w:rsidRPr="00DE24F8" w:rsidRDefault="00FE3597" w:rsidP="00FE3597">
      <w:pPr>
        <w:rPr>
          <w:rFonts w:asciiTheme="majorBidi" w:eastAsia="Times New Roman" w:hAnsiTheme="majorBidi" w:cstheme="majorBidi"/>
          <w:sz w:val="24"/>
          <w:szCs w:val="24"/>
        </w:rPr>
      </w:pPr>
      <w:r>
        <w:rPr>
          <w:rFonts w:asciiTheme="majorBidi" w:eastAsia="Times New Roman" w:hAnsiTheme="majorBidi" w:cstheme="majorBidi"/>
          <w:b/>
          <w:bCs/>
          <w:sz w:val="20"/>
          <w:szCs w:val="20"/>
        </w:rPr>
        <w:t>Date d’acceptation</w:t>
      </w:r>
      <w:r>
        <w:rPr>
          <w:rFonts w:asciiTheme="majorBidi" w:eastAsia="Times New Roman" w:hAnsiTheme="majorBidi" w:cstheme="majorBidi"/>
          <w:sz w:val="20"/>
          <w:szCs w:val="20"/>
        </w:rPr>
        <w:t xml:space="preserve"> : xx/xx/xxxx </w:t>
      </w:r>
    </w:p>
    <w:p w14:paraId="0262FD6F" w14:textId="77777777" w:rsidR="00FE3597" w:rsidRPr="00DE24F8" w:rsidRDefault="00FE3597" w:rsidP="00FE3597">
      <w:pPr>
        <w:rPr>
          <w:rFonts w:asciiTheme="majorBidi" w:eastAsia="Times New Roman" w:hAnsiTheme="majorBidi" w:cstheme="majorBidi"/>
          <w:sz w:val="24"/>
          <w:szCs w:val="24"/>
        </w:rPr>
      </w:pPr>
      <w:r>
        <w:rPr>
          <w:rFonts w:asciiTheme="majorBidi" w:eastAsia="Times New Roman" w:hAnsiTheme="majorBidi" w:cstheme="majorBidi"/>
          <w:b/>
          <w:bCs/>
          <w:sz w:val="20"/>
          <w:szCs w:val="20"/>
        </w:rPr>
        <w:t>Pour citer cet article</w:t>
      </w:r>
      <w:r>
        <w:rPr>
          <w:rFonts w:asciiTheme="majorBidi" w:eastAsia="Times New Roman" w:hAnsiTheme="majorBidi" w:cstheme="majorBidi"/>
          <w:sz w:val="20"/>
          <w:szCs w:val="20"/>
        </w:rPr>
        <w:t xml:space="preserve"> : </w:t>
      </w:r>
    </w:p>
    <w:p w14:paraId="2AA13E21" w14:textId="23E1A0DF" w:rsidR="00FE3597" w:rsidRPr="00DE24F8" w:rsidRDefault="00FE3597" w:rsidP="00F06905">
      <w:pPr>
        <w:rPr>
          <w:rFonts w:asciiTheme="majorBidi" w:eastAsia="Times New Roman" w:hAnsiTheme="majorBidi" w:cstheme="majorBidi"/>
          <w:sz w:val="20"/>
          <w:szCs w:val="20"/>
        </w:rPr>
      </w:pPr>
      <w:r>
        <w:rPr>
          <w:rFonts w:asciiTheme="majorBidi" w:eastAsia="Times New Roman" w:hAnsiTheme="majorBidi" w:cstheme="majorBidi"/>
          <w:sz w:val="20"/>
          <w:szCs w:val="20"/>
        </w:rPr>
        <w:t>Nom. Première lettre du prénom. (2000) «Titre de l’article », Revue Internationale Multidisciplinaire D’Economie et de Gestion d’Economie et de Gestion «</w:t>
      </w:r>
      <w:r>
        <w:rPr>
          <w:rFonts w:ascii="Book Antiqua" w:hAnsi="Book Antiqua"/>
          <w:sz w:val="20"/>
        </w:rPr>
        <w:t>Volume XX : Numéro YY</w:t>
      </w:r>
      <w:r>
        <w:rPr>
          <w:rFonts w:asciiTheme="majorBidi" w:eastAsia="Times New Roman" w:hAnsiTheme="majorBidi" w:cstheme="majorBidi"/>
          <w:sz w:val="20"/>
          <w:szCs w:val="20"/>
        </w:rPr>
        <w:t xml:space="preserve">» pp : - </w:t>
      </w:r>
    </w:p>
    <w:p w14:paraId="06D93151" w14:textId="77777777" w:rsidR="00FE3597" w:rsidRPr="003D1197" w:rsidRDefault="00F06905" w:rsidP="00FE3597">
      <w:pPr>
        <w:rPr>
          <w:rFonts w:asciiTheme="majorBidi" w:eastAsia="Times New Roman" w:hAnsiTheme="majorBidi" w:cstheme="majorBidi"/>
          <w:b/>
          <w:bCs/>
          <w:lang w:val="en-US"/>
        </w:rPr>
      </w:pPr>
      <w:r w:rsidRPr="003D1197">
        <w:rPr>
          <w:rFonts w:asciiTheme="majorBidi" w:eastAsia="Times New Roman" w:hAnsiTheme="majorBidi" w:cstheme="majorBidi"/>
          <w:b/>
          <w:bCs/>
          <w:lang w:val="en-US"/>
        </w:rPr>
        <w:t xml:space="preserve">Digital Object Identifier (DOI) : </w:t>
      </w:r>
    </w:p>
    <w:p w14:paraId="554592D1" w14:textId="77777777" w:rsidR="00884004" w:rsidRDefault="00884004" w:rsidP="00B55E22">
      <w:pPr>
        <w:widowControl w:val="0"/>
        <w:suppressAutoHyphens/>
        <w:jc w:val="center"/>
        <w:rPr>
          <w:sz w:val="20"/>
          <w:szCs w:val="20"/>
          <w:lang w:val="en-US"/>
        </w:rPr>
      </w:pPr>
      <w:r>
        <w:rPr>
          <w:sz w:val="20"/>
          <w:szCs w:val="20"/>
          <w:lang w:val="en-US"/>
        </w:rPr>
        <w:t>Author(s) agree that this article remain permanently open access under the terms of the Creative Commons Attribution License 4.0 International License</w:t>
      </w:r>
    </w:p>
    <w:p w14:paraId="691E4413" w14:textId="30B43DDC" w:rsidR="00B55E22" w:rsidRDefault="00B55E22" w:rsidP="00B55E22">
      <w:pPr>
        <w:widowControl w:val="0"/>
        <w:suppressAutoHyphens/>
        <w:jc w:val="center"/>
        <w:rPr>
          <w:sz w:val="20"/>
          <w:szCs w:val="20"/>
          <w:lang w:val="en-US"/>
        </w:rPr>
      </w:pPr>
      <w:r>
        <w:rPr>
          <w:noProof/>
          <w:sz w:val="20"/>
          <w:szCs w:val="20"/>
        </w:rPr>
        <w:drawing>
          <wp:inline distT="0" distB="0" distL="0" distR="0" wp14:anchorId="67ECE39C" wp14:editId="05E4CDFD">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14:paraId="0DB5E63C" w14:textId="77777777" w:rsidR="00A574BC" w:rsidRPr="00B55E22" w:rsidRDefault="00A574BC" w:rsidP="00B55E22">
      <w:pPr>
        <w:widowControl w:val="0"/>
        <w:suppressAutoHyphens/>
        <w:jc w:val="center"/>
        <w:rPr>
          <w:sz w:val="20"/>
          <w:szCs w:val="20"/>
          <w:lang w:val="en-US"/>
        </w:rPr>
      </w:pPr>
    </w:p>
    <w:p w14:paraId="4926792C" w14:textId="77777777" w:rsidR="00DE24F8" w:rsidRPr="00DE24F8" w:rsidRDefault="00DE24F8" w:rsidP="00F93590">
      <w:pPr>
        <w:autoSpaceDE w:val="0"/>
        <w:autoSpaceDN w:val="0"/>
        <w:adjustRightInd w:val="0"/>
        <w:rPr>
          <w:rFonts w:asciiTheme="majorBidi" w:hAnsiTheme="majorBidi" w:cstheme="majorBidi"/>
          <w:b/>
          <w:bCs/>
          <w:sz w:val="24"/>
          <w:szCs w:val="24"/>
        </w:rPr>
      </w:pPr>
      <w:r>
        <w:rPr>
          <w:rFonts w:asciiTheme="majorBidi" w:hAnsiTheme="majorBidi" w:cstheme="majorBidi"/>
          <w:b/>
          <w:bCs/>
          <w:sz w:val="24"/>
          <w:szCs w:val="24"/>
        </w:rPr>
        <w:lastRenderedPageBreak/>
        <w:t xml:space="preserve">Résumé </w:t>
      </w:r>
    </w:p>
    <w:p w14:paraId="640378E1" w14:textId="77777777" w:rsidR="00DE24F8" w:rsidRDefault="00DE24F8" w:rsidP="00DE24F8">
      <w:pPr>
        <w:autoSpaceDE w:val="0"/>
        <w:autoSpaceDN w:val="0"/>
        <w:adjustRightInd w:val="0"/>
        <w:rPr>
          <w:rFonts w:asciiTheme="majorBidi" w:hAnsiTheme="majorBidi" w:cstheme="majorBidi"/>
          <w:sz w:val="24"/>
          <w:szCs w:val="24"/>
        </w:rPr>
      </w:pPr>
      <w:r>
        <w:rPr>
          <w:rFonts w:asciiTheme="majorBidi" w:hAnsiTheme="majorBidi" w:cstheme="majorBidi"/>
          <w:sz w:val="24"/>
          <w:szCs w:val="24"/>
        </w:rPr>
        <w:t>Cette étude exploratoire examine la perception des consommateurs tunisiens vis-à-vis de la traçabilité agroalimentaire et de l’adoption combinée de la blockchain et de l’intelligence artificielle (IA). Fondée sur une approche qualitative interprétativiste, elle s’appuie sur 15 entretiens semi-structurés analysés par thématisation (Braun &amp; Clarke, 2006) à l’aide du logiciel Atlas.ti. Les résultats révèlent que la traçabilité est perçue comme un facteur clé de sécurité et de confiance, étroitement lié à la durabilité. La blockchain et l’IA sont identifiées comme des leviers de transparence, à condition d’être simples, fiables et accessibles. L’étude confirme la pertinence du modèle d’acceptation des technologies (TAM) articulé avec la théorie du Nudge et la notion de valeur perçue, et formule cinq hypothèses pour une future étude quantitative.</w:t>
      </w:r>
    </w:p>
    <w:p w14:paraId="74413F27" w14:textId="77777777" w:rsidR="00EB4623" w:rsidRPr="00EB4623" w:rsidRDefault="00EB4623" w:rsidP="00EB4623">
      <w:pPr>
        <w:rPr>
          <w:rFonts w:asciiTheme="majorBidi" w:hAnsiTheme="majorBidi" w:cstheme="majorBidi"/>
          <w:b/>
          <w:bCs/>
          <w:sz w:val="24"/>
          <w:szCs w:val="24"/>
        </w:rPr>
      </w:pPr>
      <w:r>
        <w:rPr>
          <w:rFonts w:asciiTheme="majorBidi" w:hAnsiTheme="majorBidi" w:cstheme="majorBidi"/>
          <w:b/>
          <w:bCs/>
          <w:sz w:val="24"/>
          <w:szCs w:val="24"/>
        </w:rPr>
        <w:t>Mots clés : intelligence artificielle, blockchain, traçabilité alimentaire, confiance, durabilité, modèle d’acceptation des technologies (TAM)</w:t>
      </w:r>
    </w:p>
    <w:p w14:paraId="0620BF32" w14:textId="77777777" w:rsidR="00EB4623" w:rsidRPr="00DE24F8" w:rsidRDefault="00EB4623" w:rsidP="00DE24F8">
      <w:pPr>
        <w:autoSpaceDE w:val="0"/>
        <w:autoSpaceDN w:val="0"/>
        <w:adjustRightInd w:val="0"/>
        <w:rPr>
          <w:rFonts w:asciiTheme="majorBidi" w:hAnsiTheme="majorBidi" w:cstheme="majorBidi"/>
          <w:sz w:val="24"/>
          <w:szCs w:val="24"/>
        </w:rPr>
      </w:pPr>
    </w:p>
    <w:p w14:paraId="315396BD" w14:textId="77777777" w:rsidR="00DE24F8" w:rsidRPr="003D1197" w:rsidRDefault="00DE24F8" w:rsidP="00F93590">
      <w:pPr>
        <w:autoSpaceDE w:val="0"/>
        <w:autoSpaceDN w:val="0"/>
        <w:adjustRightInd w:val="0"/>
        <w:rPr>
          <w:rFonts w:asciiTheme="majorBidi" w:hAnsiTheme="majorBidi" w:cstheme="majorBidi"/>
          <w:b/>
          <w:bCs/>
          <w:sz w:val="24"/>
          <w:szCs w:val="24"/>
          <w:lang w:val="en-US"/>
        </w:rPr>
      </w:pPr>
      <w:r w:rsidRPr="003D1197">
        <w:rPr>
          <w:rFonts w:asciiTheme="majorBidi" w:hAnsiTheme="majorBidi" w:cstheme="majorBidi"/>
          <w:b/>
          <w:bCs/>
          <w:sz w:val="24"/>
          <w:szCs w:val="24"/>
          <w:lang w:val="en-US"/>
        </w:rPr>
        <w:t xml:space="preserve">Abstract </w:t>
      </w:r>
    </w:p>
    <w:p w14:paraId="6ECAA5A0" w14:textId="77777777" w:rsidR="00DE24F8" w:rsidRPr="003D1197" w:rsidRDefault="00DE24F8" w:rsidP="00DE24F8">
      <w:pPr>
        <w:autoSpaceDE w:val="0"/>
        <w:autoSpaceDN w:val="0"/>
        <w:adjustRightInd w:val="0"/>
        <w:rPr>
          <w:rFonts w:asciiTheme="majorBidi" w:hAnsiTheme="majorBidi" w:cstheme="majorBidi"/>
          <w:sz w:val="24"/>
          <w:szCs w:val="24"/>
          <w:lang w:val="en-US"/>
        </w:rPr>
      </w:pPr>
      <w:r w:rsidRPr="003D1197">
        <w:rPr>
          <w:rFonts w:asciiTheme="majorBidi" w:hAnsiTheme="majorBidi" w:cstheme="majorBidi"/>
          <w:sz w:val="24"/>
          <w:szCs w:val="24"/>
          <w:lang w:val="en-US"/>
        </w:rPr>
        <w:t xml:space="preserve">This exploratory study examines Tunisian consumers’ perceptions of food traceability and the combined adoption of blockchain and artificial intelligence (AI). Grounded in an interpretivist qualitative approach, it draws on 15 semi-structured interviews analyzed through thematic analysis (Braun &amp; Clarke, 2006) using </w:t>
      </w:r>
      <w:proofErr w:type="spellStart"/>
      <w:r w:rsidRPr="003D1197">
        <w:rPr>
          <w:rFonts w:asciiTheme="majorBidi" w:hAnsiTheme="majorBidi" w:cstheme="majorBidi"/>
          <w:sz w:val="24"/>
          <w:szCs w:val="24"/>
          <w:lang w:val="en-US"/>
        </w:rPr>
        <w:t>Atlas.ti</w:t>
      </w:r>
      <w:proofErr w:type="spellEnd"/>
      <w:r w:rsidRPr="003D1197">
        <w:rPr>
          <w:rFonts w:asciiTheme="majorBidi" w:hAnsiTheme="majorBidi" w:cstheme="majorBidi"/>
          <w:sz w:val="24"/>
          <w:szCs w:val="24"/>
          <w:lang w:val="en-US"/>
        </w:rPr>
        <w:t xml:space="preserve"> software. Findings reveal that traceability is perceived as a key driver of food safety and trust, closely linked to sustainability concerns. Blockchain and AI are identified as transparency enablers, provided they remain simple, reliable, and user-friendly. The study confirms the relevance of the Technology Acceptance Model (TAM) articulated with Nudge Theory and perceived value, and proposes five research hypotheses for future quantitative validation.</w:t>
      </w:r>
    </w:p>
    <w:p w14:paraId="72946FBC" w14:textId="328E340F" w:rsidR="009C2E2B" w:rsidRPr="003D1197" w:rsidRDefault="003D1197">
      <w:pPr>
        <w:pBdr>
          <w:bottom w:val="single" w:sz="6" w:space="1" w:color="auto"/>
        </w:pBdr>
        <w:rPr>
          <w:rFonts w:asciiTheme="majorBidi" w:hAnsiTheme="majorBidi" w:cstheme="majorBidi"/>
          <w:b/>
          <w:bCs/>
          <w:sz w:val="24"/>
          <w:szCs w:val="24"/>
          <w:lang w:val="en-US"/>
        </w:rPr>
      </w:pPr>
      <w:r w:rsidRPr="003D1197">
        <w:rPr>
          <w:rFonts w:asciiTheme="majorBidi" w:hAnsiTheme="majorBidi" w:cstheme="majorBidi"/>
          <w:b/>
          <w:bCs/>
          <w:sz w:val="24"/>
          <w:szCs w:val="24"/>
          <w:lang w:val="en-US"/>
        </w:rPr>
        <w:t>Keywords:</w:t>
      </w:r>
      <w:r w:rsidR="00EB4623" w:rsidRPr="003D1197">
        <w:rPr>
          <w:rFonts w:asciiTheme="majorBidi" w:hAnsiTheme="majorBidi" w:cstheme="majorBidi"/>
          <w:b/>
          <w:bCs/>
          <w:sz w:val="24"/>
          <w:szCs w:val="24"/>
          <w:lang w:val="en-US"/>
        </w:rPr>
        <w:t xml:space="preserve"> artificial intelligence, blockchain, food traceability, consumer trust, sustainability, Technology Acceptance Model (TAM)</w:t>
      </w:r>
    </w:p>
    <w:p w14:paraId="5C40AC23" w14:textId="3818AA35" w:rsidR="009C2E2B" w:rsidRPr="003D1197" w:rsidRDefault="009C2E2B">
      <w:pPr>
        <w:rPr>
          <w:rFonts w:asciiTheme="majorBidi" w:hAnsiTheme="majorBidi" w:cstheme="majorBidi"/>
          <w:sz w:val="24"/>
          <w:szCs w:val="24"/>
          <w:lang w:val="en-US"/>
        </w:rPr>
      </w:pPr>
    </w:p>
    <w:p w14:paraId="254697E2" w14:textId="203D90C5" w:rsidR="009C2E2B" w:rsidRPr="003D1197" w:rsidRDefault="009C2E2B">
      <w:pPr>
        <w:rPr>
          <w:rFonts w:asciiTheme="majorBidi" w:hAnsiTheme="majorBidi" w:cstheme="majorBidi"/>
          <w:sz w:val="24"/>
          <w:szCs w:val="24"/>
          <w:lang w:val="en-US"/>
        </w:rPr>
      </w:pPr>
    </w:p>
    <w:p w14:paraId="74E79CF8" w14:textId="146FF653" w:rsidR="009C2E2B" w:rsidRDefault="009C2E2B">
      <w:pPr>
        <w:rPr>
          <w:rFonts w:asciiTheme="majorBidi" w:hAnsiTheme="majorBidi" w:cstheme="majorBidi"/>
          <w:b/>
          <w:bCs/>
          <w:sz w:val="24"/>
          <w:szCs w:val="24"/>
          <w:lang w:val="en-US"/>
        </w:rPr>
      </w:pPr>
    </w:p>
    <w:p w14:paraId="26497D95" w14:textId="6C639624" w:rsidR="003D1197" w:rsidRDefault="003D1197">
      <w:pPr>
        <w:rPr>
          <w:rFonts w:asciiTheme="majorBidi" w:hAnsiTheme="majorBidi" w:cstheme="majorBidi"/>
          <w:b/>
          <w:bCs/>
          <w:sz w:val="24"/>
          <w:szCs w:val="24"/>
          <w:lang w:val="en-US"/>
        </w:rPr>
      </w:pPr>
    </w:p>
    <w:p w14:paraId="4383DB30" w14:textId="77777777" w:rsidR="003D1197" w:rsidRPr="003D1197" w:rsidRDefault="003D1197">
      <w:pPr>
        <w:rPr>
          <w:rFonts w:asciiTheme="majorBidi" w:hAnsiTheme="majorBidi" w:cstheme="majorBidi"/>
          <w:b/>
          <w:bCs/>
          <w:sz w:val="24"/>
          <w:szCs w:val="24"/>
          <w:lang w:val="en-US"/>
        </w:rPr>
      </w:pPr>
    </w:p>
    <w:p w14:paraId="2874088F" w14:textId="77777777" w:rsidR="00D93720" w:rsidRPr="00473DCD" w:rsidRDefault="00EB4623" w:rsidP="00F93590">
      <w:pPr>
        <w:autoSpaceDE w:val="0"/>
        <w:autoSpaceDN w:val="0"/>
        <w:adjustRightInd w:val="0"/>
        <w:rPr>
          <w:rFonts w:asciiTheme="majorBidi" w:hAnsiTheme="majorBidi" w:cstheme="majorBidi"/>
          <w:b/>
          <w:bCs/>
          <w:sz w:val="28"/>
          <w:szCs w:val="28"/>
        </w:rPr>
      </w:pPr>
      <w:r w:rsidRPr="00473DCD">
        <w:rPr>
          <w:rFonts w:asciiTheme="majorBidi" w:hAnsiTheme="majorBidi" w:cstheme="majorBidi"/>
          <w:b/>
          <w:bCs/>
          <w:sz w:val="28"/>
          <w:szCs w:val="28"/>
        </w:rPr>
        <w:lastRenderedPageBreak/>
        <w:t>Introduction</w:t>
      </w:r>
    </w:p>
    <w:p w14:paraId="0E8E1A82" w14:textId="77777777"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secteur agroalimentaire joue un rôle essentiel dans la sécurité alimentaire, la santé </w:t>
      </w:r>
      <w:r>
        <w:rPr>
          <w:rFonts w:ascii="Times New Roman" w:eastAsia="Times New Roman" w:hAnsi="Times New Roman" w:cs="Times New Roman"/>
          <w:sz w:val="24"/>
          <w:szCs w:val="24"/>
        </w:rPr>
        <w:t>publique et le développement économique mondial (Regattieri et al., 2007). Cependant, la mondialisation des chaînes d’approvisionnement et la complexité des circuits de distribution rendent la traçabilité des produits alimentaires plus difficile à assurer,</w:t>
      </w:r>
      <w:r>
        <w:rPr>
          <w:rFonts w:ascii="Times New Roman" w:eastAsia="Times New Roman" w:hAnsi="Times New Roman" w:cs="Times New Roman"/>
          <w:sz w:val="24"/>
          <w:szCs w:val="24"/>
        </w:rPr>
        <w:t xml:space="preserve"> ce qui augmente les risques liés à la sécurité, à la qualité et à la confiance des consommateurs (Manning &amp; Soon, 2016 ; Moe, 1998). La traçabilité, définie comme la capacité à suivre l’historique et la localisation d’un produit à chaque étape de sa produ</w:t>
      </w:r>
      <w:r>
        <w:rPr>
          <w:rFonts w:ascii="Times New Roman" w:eastAsia="Times New Roman" w:hAnsi="Times New Roman" w:cs="Times New Roman"/>
          <w:sz w:val="24"/>
          <w:szCs w:val="24"/>
        </w:rPr>
        <w:t>ction et distribution, constitue un outil clé pour limiter les fraudes, gérer les crises sanitaires et renforcer la transparence (Tian, 2016).</w:t>
      </w:r>
    </w:p>
    <w:p w14:paraId="7C9BB2D5" w14:textId="77777777" w:rsidR="002751A4" w:rsidRPr="00BA2496"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Malgré son importance, de nombreuses études soulignent que les systèmes traditionnels de traçabilité présentent d</w:t>
      </w:r>
      <w:r>
        <w:rPr>
          <w:rFonts w:ascii="Times New Roman" w:eastAsia="Times New Roman" w:hAnsi="Times New Roman" w:cs="Times New Roman"/>
          <w:sz w:val="24"/>
          <w:szCs w:val="24"/>
        </w:rPr>
        <w:t>es limites majeures : ils sont fragmentés, peu interopérables et vulnérables aux falsifications ou erreurs humaines (Kamilaris et al., 2019 ; Francisco &amp; Swanson, 2018). Ces contraintes sont aggravées par un manque de compréhension et d’appropriation des c</w:t>
      </w:r>
      <w:r>
        <w:rPr>
          <w:rFonts w:ascii="Times New Roman" w:eastAsia="Times New Roman" w:hAnsi="Times New Roman" w:cs="Times New Roman"/>
          <w:sz w:val="24"/>
          <w:szCs w:val="24"/>
        </w:rPr>
        <w:t>onsommateurs vis-à-vis de ces dispositifs, ce qui limite leur confiance et leur engagement envers les produits alimentaires (Zeithaml, 1988).</w:t>
      </w:r>
    </w:p>
    <w:p w14:paraId="7C288BC3" w14:textId="77777777" w:rsidR="002751A4" w:rsidRPr="00BA2496"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Les technologies émergentes, telles que la blockchain et l’intelligence artificielle (IA), offrent de nouvelles op</w:t>
      </w:r>
      <w:r>
        <w:rPr>
          <w:rFonts w:ascii="Times New Roman" w:eastAsia="Times New Roman" w:hAnsi="Times New Roman" w:cs="Times New Roman"/>
          <w:sz w:val="24"/>
          <w:szCs w:val="24"/>
        </w:rPr>
        <w:t>portunités pour renforcer la traçabilité et la transparence des chaînes agroalimentaires. La blockchain permet un stockage immuable et transparent des informations, garantissant l’authenticité des données et réduisant les risques de fraude (Kshetri, 2018 ;</w:t>
      </w:r>
      <w:r>
        <w:rPr>
          <w:rFonts w:ascii="Times New Roman" w:eastAsia="Times New Roman" w:hAnsi="Times New Roman" w:cs="Times New Roman"/>
          <w:sz w:val="24"/>
          <w:szCs w:val="24"/>
        </w:rPr>
        <w:t xml:space="preserve"> Tian, 2016). L’IA, quant à elle, rend possible l’analyse des données massives issues de la chaîne d’approvisionnement, la détection d’anomalies et la fourniture d’informations prédictives ou personnalisées aux consommateurs (Kamilaris et al., 2019 ; Rejeb</w:t>
      </w:r>
      <w:r>
        <w:rPr>
          <w:rFonts w:ascii="Times New Roman" w:eastAsia="Times New Roman" w:hAnsi="Times New Roman" w:cs="Times New Roman"/>
          <w:sz w:val="24"/>
          <w:szCs w:val="24"/>
        </w:rPr>
        <w:t xml:space="preserve"> et al., 2020).</w:t>
      </w:r>
    </w:p>
    <w:p w14:paraId="3A86B7BE" w14:textId="77777777" w:rsidR="002751A4" w:rsidRPr="00BA2496"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Cependant, malgré leur potentiel considérable pour révolutionner la traçabilité et la durabilité des produits agroalimentaires, l’adoption de ces technologies reste limitée. Plusieurs obstacles majeurs subsistent : un manque de confiance de</w:t>
      </w:r>
      <w:r>
        <w:rPr>
          <w:rFonts w:ascii="Times New Roman" w:eastAsia="Times New Roman" w:hAnsi="Times New Roman" w:cs="Times New Roman"/>
          <w:sz w:val="24"/>
          <w:szCs w:val="24"/>
        </w:rPr>
        <w:t>s consommateurs envers les informations affichées, souvent entachées par des labels frauduleux ou des étiquetages peu transparents (Aversa et al., 2021 ; Mancini &amp; Antonioli, 2019), des contraintes techniques et institutionnelles liées aux infrastructures,</w:t>
      </w:r>
      <w:r>
        <w:rPr>
          <w:rFonts w:ascii="Times New Roman" w:eastAsia="Times New Roman" w:hAnsi="Times New Roman" w:cs="Times New Roman"/>
          <w:sz w:val="24"/>
          <w:szCs w:val="24"/>
        </w:rPr>
        <w:t xml:space="preserve"> à la réglementation et aux compétences, en particulier dans les pays en développement (Tian, 2017 ; Salah et al., 2019), ainsi qu’une perception </w:t>
      </w:r>
      <w:r>
        <w:rPr>
          <w:rFonts w:ascii="Times New Roman" w:eastAsia="Times New Roman" w:hAnsi="Times New Roman" w:cs="Times New Roman"/>
          <w:sz w:val="24"/>
          <w:szCs w:val="24"/>
        </w:rPr>
        <w:lastRenderedPageBreak/>
        <w:t>incertaine de la valeur ajoutée de ces systèmes, fortement conditionnée par le contenu et la lisibilité des in</w:t>
      </w:r>
      <w:r>
        <w:rPr>
          <w:rFonts w:ascii="Times New Roman" w:eastAsia="Times New Roman" w:hAnsi="Times New Roman" w:cs="Times New Roman"/>
          <w:sz w:val="24"/>
          <w:szCs w:val="24"/>
        </w:rPr>
        <w:t>formations fournies (Zhang et al., 2020 ; Behnke &amp; Janssen, 2020).</w:t>
      </w:r>
    </w:p>
    <w:p w14:paraId="5D43D042" w14:textId="77777777"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Ainsi, au-delà des aspects techniques et organisationnels souvent mis en avant dans la littérature, il apparaît essentiel d’explorer les dimensions psychologiques et comportementales liées </w:t>
      </w:r>
      <w:r>
        <w:rPr>
          <w:rFonts w:ascii="Times New Roman" w:eastAsia="Times New Roman" w:hAnsi="Times New Roman" w:cs="Times New Roman"/>
          <w:sz w:val="24"/>
          <w:szCs w:val="24"/>
        </w:rPr>
        <w:t>à l’acceptabilité sociale de la blockchain et de l’IA.</w:t>
      </w:r>
    </w:p>
    <w:p w14:paraId="0D9964D2" w14:textId="77777777" w:rsidR="002751A4" w:rsidRDefault="00A15298" w:rsidP="002751A4">
      <w:pPr>
        <w:spacing w:before="100" w:beforeAutospacing="1" w:after="100" w:afterAutospacing="1"/>
        <w:ind w:firstLine="709"/>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La question centrale de cette recherche est donc la suivante : </w:t>
      </w:r>
      <w:r>
        <w:rPr>
          <w:rFonts w:ascii="Times New Roman" w:eastAsia="Times New Roman" w:hAnsi="Times New Roman" w:cs="Times New Roman"/>
          <w:b/>
          <w:bCs/>
          <w:sz w:val="24"/>
          <w:szCs w:val="24"/>
        </w:rPr>
        <w:t>comment les consommateurs perçoivent-ils et évaluent-ils l’usage combiné de la blockchain et de l’IA pour renforcer la traçabilité durabl</w:t>
      </w:r>
      <w:r>
        <w:rPr>
          <w:rFonts w:ascii="Times New Roman" w:eastAsia="Times New Roman" w:hAnsi="Times New Roman" w:cs="Times New Roman"/>
          <w:b/>
          <w:bCs/>
          <w:sz w:val="24"/>
          <w:szCs w:val="24"/>
        </w:rPr>
        <w:t>e et transparente des produits agroalimentaires ?</w:t>
      </w:r>
    </w:p>
    <w:p w14:paraId="50BD94E5" w14:textId="77777777" w:rsidR="002751A4" w:rsidRPr="00BA2496" w:rsidRDefault="00A15298" w:rsidP="002751A4">
      <w:pPr>
        <w:spacing w:before="100" w:beforeAutospacing="1" w:after="100" w:afterAutospacing="1"/>
        <w:ind w:firstLine="709"/>
        <w:rPr>
          <w:rFonts w:asciiTheme="majorBidi" w:eastAsia="Times New Roman" w:hAnsiTheme="majorBidi" w:cstheme="majorBidi"/>
          <w:sz w:val="28"/>
          <w:szCs w:val="28"/>
        </w:rPr>
      </w:pPr>
      <w:r>
        <w:rPr>
          <w:rFonts w:asciiTheme="majorBidi" w:hAnsiTheme="majorBidi" w:cstheme="majorBidi"/>
          <w:sz w:val="24"/>
          <w:szCs w:val="24"/>
        </w:rPr>
        <w:t>Cet article explore ces enjeux à travers une analyse qualitative des perceptions des consommateurs et parties prenantes vis-à-vis de l’usage combiné de la blockchain et de l’intelligence artificielle pour l</w:t>
      </w:r>
      <w:r>
        <w:rPr>
          <w:rFonts w:asciiTheme="majorBidi" w:hAnsiTheme="majorBidi" w:cstheme="majorBidi"/>
          <w:sz w:val="24"/>
          <w:szCs w:val="24"/>
        </w:rPr>
        <w:t>a traçabilité durable des produits agroalimentaires. Il vise à identifier les opportunités et les obstacles liés à l’adoption de ces technologies, en mettant en évidence les facteurs qui influencent la confiance, la compréhension et l’acceptabilité sociale</w:t>
      </w:r>
      <w:r>
        <w:rPr>
          <w:rFonts w:asciiTheme="majorBidi" w:hAnsiTheme="majorBidi" w:cstheme="majorBidi"/>
          <w:sz w:val="24"/>
          <w:szCs w:val="24"/>
        </w:rPr>
        <w:t xml:space="preserve"> des systèmes de traçabilité numérique. Cette recherche contribue ainsi à éclairer le rôle de la blockchain et de l’IA dans l’amélioration de la transparence, de la sécurité et de la durabilité des chaînes d’approvisionnement alimentaires, tout en promouva</w:t>
      </w:r>
      <w:r>
        <w:rPr>
          <w:rFonts w:asciiTheme="majorBidi" w:hAnsiTheme="majorBidi" w:cstheme="majorBidi"/>
          <w:sz w:val="24"/>
          <w:szCs w:val="24"/>
        </w:rPr>
        <w:t>nt une consommation responsable et la compétitivité économique.</w:t>
      </w:r>
    </w:p>
    <w:p w14:paraId="1405EF68" w14:textId="77777777" w:rsidR="002751A4" w:rsidRPr="007041D6" w:rsidRDefault="00A15298" w:rsidP="002751A4">
      <w:pPr>
        <w:rPr>
          <w:rFonts w:asciiTheme="majorBidi" w:hAnsiTheme="majorBidi"/>
          <w:b/>
          <w:bCs/>
          <w:sz w:val="28"/>
          <w:szCs w:val="28"/>
        </w:rPr>
      </w:pPr>
      <w:r>
        <w:rPr>
          <w:rFonts w:asciiTheme="majorBidi" w:hAnsiTheme="majorBidi"/>
          <w:b/>
          <w:bCs/>
          <w:sz w:val="28"/>
          <w:szCs w:val="28"/>
        </w:rPr>
        <w:t>1. Traçabilité durable et consommation responsable</w:t>
      </w:r>
    </w:p>
    <w:p w14:paraId="42BE36EE" w14:textId="77777777" w:rsidR="002751A4" w:rsidRPr="00DB4517"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traçabilité constitue un pilier fondamental des systèmes alimentaires modernes, car elle permet de suivre et de retracer le </w:t>
      </w:r>
      <w:r>
        <w:rPr>
          <w:rFonts w:ascii="Times New Roman" w:eastAsia="Times New Roman" w:hAnsi="Times New Roman" w:cs="Times New Roman"/>
          <w:sz w:val="24"/>
          <w:szCs w:val="24"/>
        </w:rPr>
        <w:t xml:space="preserve">parcours d’un produit tout au long de la chaîne de valeur, de la production à la consommation (Regattieri et al., 2007). Elle joue un rôle essentiel dans la gestion des risques, la prévention des crises sanitaires, la conformité et surtout la transparence </w:t>
      </w:r>
      <w:r>
        <w:rPr>
          <w:rFonts w:ascii="Times New Roman" w:eastAsia="Times New Roman" w:hAnsi="Times New Roman" w:cs="Times New Roman"/>
          <w:sz w:val="24"/>
          <w:szCs w:val="24"/>
        </w:rPr>
        <w:t>vis-à-vis des consommateurs (Bosona &amp; Gebresenbet, 2013). Au fil du temps, elle s’est imposée comme une exigence stratégique incontournable pour l’ensemble des filières agroalimentaires, dépassant la simple obligation documentaire pour devenir un instrumen</w:t>
      </w:r>
      <w:r>
        <w:rPr>
          <w:rFonts w:ascii="Times New Roman" w:eastAsia="Times New Roman" w:hAnsi="Times New Roman" w:cs="Times New Roman"/>
          <w:sz w:val="24"/>
          <w:szCs w:val="24"/>
        </w:rPr>
        <w:t xml:space="preserve">t central de gouvernance et de compétitivité des chaînes d’approvisionnement (Wognum et al., 2011 ; Bechini et al., 2008). Elle permet en outre de faciliter le rappel rapide des produits défectueux et d’assurer la sécurité du consommateur final (Manning &amp; </w:t>
      </w:r>
      <w:r>
        <w:rPr>
          <w:rFonts w:ascii="Times New Roman" w:eastAsia="Times New Roman" w:hAnsi="Times New Roman" w:cs="Times New Roman"/>
          <w:sz w:val="24"/>
          <w:szCs w:val="24"/>
        </w:rPr>
        <w:t>Soon, 2016).</w:t>
      </w:r>
    </w:p>
    <w:p w14:paraId="164E339C" w14:textId="5C534AA4" w:rsidR="002751A4" w:rsidRPr="00DB4517"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Les crises sanitaires passées, telles que l’encéphalopathie spongiforme bovine, la contamination à la dioxine ou le scandale de la viande de cheval, ont mis en évidence la vulnérabilité des chaînes globalisées et entraîné une perte significati</w:t>
      </w:r>
      <w:r>
        <w:rPr>
          <w:rFonts w:ascii="Times New Roman" w:eastAsia="Times New Roman" w:hAnsi="Times New Roman" w:cs="Times New Roman"/>
          <w:sz w:val="24"/>
          <w:szCs w:val="24"/>
        </w:rPr>
        <w:t>ve de confiance envers les marques et institutions (Roth et al., 2008 ; Charlebois et al., 2014). Ces événements ont accéléré la nécessité d’adopter des systèmes de traçabilité plus fiables, interconnectés et transparents, capables de certifier l’origine e</w:t>
      </w:r>
      <w:r>
        <w:rPr>
          <w:rFonts w:ascii="Times New Roman" w:eastAsia="Times New Roman" w:hAnsi="Times New Roman" w:cs="Times New Roman"/>
          <w:sz w:val="24"/>
          <w:szCs w:val="24"/>
        </w:rPr>
        <w:t>t la qualité des produits. Dans ce contexte, les technologies numériques telles que la blockchain, la RFID et les capteurs intelligents  apparaissent comme des solutions prometteuses pour renforcer la sécurité et la fiabilité des informations le long de la</w:t>
      </w:r>
      <w:r>
        <w:rPr>
          <w:rFonts w:ascii="Times New Roman" w:eastAsia="Times New Roman" w:hAnsi="Times New Roman" w:cs="Times New Roman"/>
          <w:sz w:val="24"/>
          <w:szCs w:val="24"/>
        </w:rPr>
        <w:t xml:space="preserve"> chaîne (Tian, 2017 ; Galvez et al., 2018 ; Rejeb et al., 2021).</w:t>
      </w:r>
    </w:p>
    <w:p w14:paraId="227CE114" w14:textId="4E99B2E1" w:rsidR="002751A4" w:rsidRPr="00DB4517" w:rsidRDefault="00A15298" w:rsidP="00590A51">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En parallèle, les consommateurs modernes, de plus en plus informés et conscients des enjeux de santé, d’éthique et de durabilité, attendent une transparence totale sur l’origine et les condit</w:t>
      </w:r>
      <w:r>
        <w:rPr>
          <w:rFonts w:ascii="Times New Roman" w:eastAsia="Times New Roman" w:hAnsi="Times New Roman" w:cs="Times New Roman"/>
          <w:sz w:val="24"/>
          <w:szCs w:val="24"/>
        </w:rPr>
        <w:t>ions de production des biens alimentaires (Verbeke, 2005 ; Aschemann-Witzel et al., 2019). La traçabilité devient alors un levier majeur de consommation responsable, car elle permet aux individus de faire des choix alignés avec leurs valeurs sociales et en</w:t>
      </w:r>
      <w:r>
        <w:rPr>
          <w:rFonts w:ascii="Times New Roman" w:eastAsia="Times New Roman" w:hAnsi="Times New Roman" w:cs="Times New Roman"/>
          <w:sz w:val="24"/>
          <w:szCs w:val="24"/>
        </w:rPr>
        <w:t>vironnementales (Koop et al., 2022). Des travaux montrent que l’accès à une information claire et contextualisée renforce la confiance, réduit la perception du risque et favorise l’intention d’achat (Fernqvist &amp; Ekelund, 2014 ; Lusk &amp; Briggeman, 2009). Pou</w:t>
      </w:r>
      <w:r>
        <w:rPr>
          <w:rFonts w:ascii="Times New Roman" w:eastAsia="Times New Roman" w:hAnsi="Times New Roman" w:cs="Times New Roman"/>
          <w:sz w:val="24"/>
          <w:szCs w:val="24"/>
        </w:rPr>
        <w:t xml:space="preserve">r répondre à ces attentes, les entreprises développent des outils numériques tels que les QR codes, les applications mobiles ou les plateformes basées sur la blockchain (Tian, 2017 ; Galvez et al., 2018). Toutefois, la surcharge cognitive et la lisibilité </w:t>
      </w:r>
      <w:r>
        <w:rPr>
          <w:rFonts w:ascii="Times New Roman" w:eastAsia="Times New Roman" w:hAnsi="Times New Roman" w:cs="Times New Roman"/>
          <w:sz w:val="24"/>
          <w:szCs w:val="24"/>
        </w:rPr>
        <w:t>de l’information constituent encore des freins majeurs à une adoption massive (Klerkx &amp; Rose, 2020). Bien que de nombreux consommateurs déclarent être favorables à l’achat de produits traçables, un écart persistant entre les intentions déclarées et les com</w:t>
      </w:r>
      <w:r>
        <w:rPr>
          <w:rFonts w:ascii="Times New Roman" w:eastAsia="Times New Roman" w:hAnsi="Times New Roman" w:cs="Times New Roman"/>
          <w:sz w:val="24"/>
          <w:szCs w:val="24"/>
        </w:rPr>
        <w:t>portements réels d’achat est observé (Auger &amp; Devinney, 2007 ; Grunert, 2011). Ce paradoxe souligne l’importance d’intégrer les apports des sciences comportementales et notamment de la théorie du nudge, afin d’orienter subtilement les choix vers des pratiq</w:t>
      </w:r>
      <w:r>
        <w:rPr>
          <w:rFonts w:ascii="Times New Roman" w:eastAsia="Times New Roman" w:hAnsi="Times New Roman" w:cs="Times New Roman"/>
          <w:sz w:val="24"/>
          <w:szCs w:val="24"/>
        </w:rPr>
        <w:t>ues de consommation plus responsables et durables (Thaler &amp; Sunstein, 2008 ; Lehner et al., 2016).</w:t>
      </w:r>
    </w:p>
    <w:p w14:paraId="2BD36DF2" w14:textId="77777777" w:rsidR="002751A4" w:rsidRPr="00795307" w:rsidRDefault="00A15298" w:rsidP="002751A4">
      <w:pPr>
        <w:rPr>
          <w:rFonts w:asciiTheme="majorBidi" w:hAnsiTheme="majorBidi"/>
          <w:b/>
          <w:bCs/>
          <w:sz w:val="28"/>
          <w:szCs w:val="28"/>
        </w:rPr>
      </w:pPr>
      <w:r>
        <w:rPr>
          <w:rFonts w:asciiTheme="majorBidi" w:hAnsiTheme="majorBidi"/>
          <w:b/>
          <w:bCs/>
          <w:sz w:val="28"/>
          <w:szCs w:val="28"/>
        </w:rPr>
        <w:t>2. Blockchain et intelligence artificielle au service de la traçabilité durable</w:t>
      </w:r>
    </w:p>
    <w:p w14:paraId="692DA0CC" w14:textId="77777777"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La blockchain et l’intelligence artificielle (IA) constituent deux technologi</w:t>
      </w:r>
      <w:r>
        <w:rPr>
          <w:rFonts w:ascii="Times New Roman" w:eastAsia="Times New Roman" w:hAnsi="Times New Roman" w:cs="Times New Roman"/>
          <w:sz w:val="24"/>
          <w:szCs w:val="24"/>
        </w:rPr>
        <w:t xml:space="preserve">es complémentaires au service de la traçabilité durable dans le secteur agroalimentaire. Afin d’en </w:t>
      </w:r>
      <w:r>
        <w:rPr>
          <w:rFonts w:ascii="Times New Roman" w:eastAsia="Times New Roman" w:hAnsi="Times New Roman" w:cs="Times New Roman"/>
          <w:sz w:val="24"/>
          <w:szCs w:val="24"/>
        </w:rPr>
        <w:lastRenderedPageBreak/>
        <w:t>saisir les apports respectifs, il convient d’aborder chacune d’elles séparément avant d’examiner leur synergie.</w:t>
      </w:r>
    </w:p>
    <w:p w14:paraId="692DA0CD" w14:textId="77777777" w:rsidR="002751A4" w:rsidRPr="00473DCD" w:rsidRDefault="00A15298" w:rsidP="002751A4">
      <w:pPr>
        <w:spacing w:before="100" w:beforeAutospacing="1" w:after="100" w:afterAutospacing="1"/>
        <w:ind w:firstLine="709"/>
        <w:rPr>
          <w:rFonts w:ascii="Times New Roman" w:eastAsia="Times New Roman" w:hAnsi="Times New Roman" w:cs="Times New Roman"/>
          <w:sz w:val="28"/>
          <w:szCs w:val="28"/>
        </w:rPr>
      </w:pPr>
      <w:r w:rsidRPr="00473DCD">
        <w:rPr>
          <w:rFonts w:ascii="Times New Roman" w:eastAsia="Times New Roman" w:hAnsi="Times New Roman" w:cs="Times New Roman"/>
          <w:b/>
          <w:sz w:val="28"/>
          <w:szCs w:val="28"/>
        </w:rPr>
        <w:t>2.1. La blockchain : fondements, mécanismes e</w:t>
      </w:r>
      <w:r w:rsidRPr="00473DCD">
        <w:rPr>
          <w:rFonts w:ascii="Times New Roman" w:eastAsia="Times New Roman" w:hAnsi="Times New Roman" w:cs="Times New Roman"/>
          <w:b/>
          <w:sz w:val="28"/>
          <w:szCs w:val="28"/>
        </w:rPr>
        <w:t>t apports à la traçabilité agroalimentaire</w:t>
      </w:r>
    </w:p>
    <w:p w14:paraId="692DA0CE" w14:textId="6FBD7FFF"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La blockchain, initialement conceptualisée par Nakamoto (2008) dans le cadre des cryptomonnaies, est un registre distribué, décentralisé et immuable qui permet l’enregistrement et la vérification de transactions o</w:t>
      </w:r>
      <w:r>
        <w:rPr>
          <w:rFonts w:ascii="Times New Roman" w:eastAsia="Times New Roman" w:hAnsi="Times New Roman" w:cs="Times New Roman"/>
          <w:sz w:val="24"/>
          <w:szCs w:val="24"/>
        </w:rPr>
        <w:t>u de données sans recours à un tiers de confiance centralisé. Chaque bloc d’informations est lié cryptographiquement au précédent, formant une chaîne inviolable et horodatée (Swan, 2015 ; Tapscott &amp; Tapscott, 2016). Appliquée à l’agroalimentaire, cette arc</w:t>
      </w:r>
      <w:r>
        <w:rPr>
          <w:rFonts w:ascii="Times New Roman" w:eastAsia="Times New Roman" w:hAnsi="Times New Roman" w:cs="Times New Roman"/>
          <w:sz w:val="24"/>
          <w:szCs w:val="24"/>
        </w:rPr>
        <w:t xml:space="preserve">hitecture garantit que chaque étape de la chaîne d’approvisionnement </w:t>
      </w:r>
      <w:r>
        <w:rPr>
          <w:rFonts w:ascii="Times New Roman" w:eastAsia="Times New Roman" w:hAnsi="Times New Roman" w:cs="Times New Roman"/>
          <w:sz w:val="24"/>
          <w:szCs w:val="24"/>
        </w:rPr>
        <w:t xml:space="preserve">de la production agricole à la mise en rayon </w:t>
      </w:r>
      <w:r>
        <w:rPr>
          <w:rFonts w:ascii="Times New Roman" w:eastAsia="Times New Roman" w:hAnsi="Times New Roman" w:cs="Times New Roman"/>
          <w:sz w:val="24"/>
          <w:szCs w:val="24"/>
        </w:rPr>
        <w:t xml:space="preserve"> est enregistrée de manière transparente, traçable et résistante aux falsifications (Tian, 2016 ; Kshetri, 2018). Des travaux pionniers, te</w:t>
      </w:r>
      <w:r>
        <w:rPr>
          <w:rFonts w:ascii="Times New Roman" w:eastAsia="Times New Roman" w:hAnsi="Times New Roman" w:cs="Times New Roman"/>
          <w:sz w:val="24"/>
          <w:szCs w:val="24"/>
        </w:rPr>
        <w:t>ls que ceux de Tian (2016, 2017), ont démontré la faisabilité de systèmes de traçabilité combinant blockchain, RFID et IoT pour certifier l’origine et la qualité des produits en temps réel. Kamilaris et al. (2019) ont dressé un panorama complet des applica</w:t>
      </w:r>
      <w:r>
        <w:rPr>
          <w:rFonts w:ascii="Times New Roman" w:eastAsia="Times New Roman" w:hAnsi="Times New Roman" w:cs="Times New Roman"/>
          <w:sz w:val="24"/>
          <w:szCs w:val="24"/>
        </w:rPr>
        <w:t xml:space="preserve">tions blockchain dans les filières agricoles et alimentaires, soulignant son potentiel pour améliorer la conformité réglementaire, réduire les fraudes et renforcer la confiance des consommateurs. Francisco et Swanson (2018) ont quant à eux mis en évidence </w:t>
      </w:r>
      <w:r>
        <w:rPr>
          <w:rFonts w:ascii="Times New Roman" w:eastAsia="Times New Roman" w:hAnsi="Times New Roman" w:cs="Times New Roman"/>
          <w:sz w:val="24"/>
          <w:szCs w:val="24"/>
        </w:rPr>
        <w:t>sa capacité à rendre visibles des chaînes d’approvisionnement opaques, en particulier dans le secteur du textile et de l’alimentation. Galvez et al. (2018) ont exploré les défis analytiques liés à l’usage de la blockchain pour la sécurité alimentaire, insi</w:t>
      </w:r>
      <w:r>
        <w:rPr>
          <w:rFonts w:ascii="Times New Roman" w:eastAsia="Times New Roman" w:hAnsi="Times New Roman" w:cs="Times New Roman"/>
          <w:sz w:val="24"/>
          <w:szCs w:val="24"/>
        </w:rPr>
        <w:t>stant sur la nécessité d’interfaces accessibles pour les acteurs non-techniques. Behnke et Janssen (2020) ont précisé les conditions-limites de son déploiement, notamment en termes d’interopérabilité entre acteurs et de gouvernance des données. Des expérim</w:t>
      </w:r>
      <w:r>
        <w:rPr>
          <w:rFonts w:ascii="Times New Roman" w:eastAsia="Times New Roman" w:hAnsi="Times New Roman" w:cs="Times New Roman"/>
          <w:sz w:val="24"/>
          <w:szCs w:val="24"/>
        </w:rPr>
        <w:t>entations concrètes — comme celles menées par Walmart, Carrefour ou IBM Food Trust — ont validé l’intérêt opérationnel de la technologie, ramenant de plusieurs jours à quelques secondes le temps nécessaire pour retracer l’origine d’un produit (Kshetri, 201</w:t>
      </w:r>
      <w:r>
        <w:rPr>
          <w:rFonts w:ascii="Times New Roman" w:eastAsia="Times New Roman" w:hAnsi="Times New Roman" w:cs="Times New Roman"/>
          <w:sz w:val="24"/>
          <w:szCs w:val="24"/>
        </w:rPr>
        <w:t>8 ; Rejeb et al., 2021). Cependant, malgré ce potentiel documenté, l’adoption de la blockchain reste freinée par des obstacles persistants : complexité technique élevée, coûts d’infrastructure importants, manque de standards communs entre acteurs de la cha</w:t>
      </w:r>
      <w:r>
        <w:rPr>
          <w:rFonts w:ascii="Times New Roman" w:eastAsia="Times New Roman" w:hAnsi="Times New Roman" w:cs="Times New Roman"/>
          <w:sz w:val="24"/>
          <w:szCs w:val="24"/>
        </w:rPr>
        <w:t xml:space="preserve">îne, et faible familiarité des utilisateurs finaux avec ses mécanismes (Salah et al., 2019 ; Lv et al., 2023). Ces </w:t>
      </w:r>
      <w:r>
        <w:rPr>
          <w:rFonts w:ascii="Times New Roman" w:eastAsia="Times New Roman" w:hAnsi="Times New Roman" w:cs="Times New Roman"/>
          <w:sz w:val="24"/>
          <w:szCs w:val="24"/>
        </w:rPr>
        <w:lastRenderedPageBreak/>
        <w:t>freins appellent à concevoir des solutions plus accessibles, pédagogiques et centrées sur l’expérience utilisateur.</w:t>
      </w:r>
    </w:p>
    <w:p w14:paraId="692DA0CF" w14:textId="77777777"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sidRPr="00473DCD">
        <w:rPr>
          <w:rFonts w:ascii="Times New Roman" w:eastAsia="Times New Roman" w:hAnsi="Times New Roman" w:cs="Times New Roman"/>
          <w:b/>
          <w:sz w:val="28"/>
          <w:szCs w:val="28"/>
        </w:rPr>
        <w:t>2.2. L’intelligence artif</w:t>
      </w:r>
      <w:r w:rsidRPr="00473DCD">
        <w:rPr>
          <w:rFonts w:ascii="Times New Roman" w:eastAsia="Times New Roman" w:hAnsi="Times New Roman" w:cs="Times New Roman"/>
          <w:b/>
          <w:sz w:val="28"/>
          <w:szCs w:val="28"/>
        </w:rPr>
        <w:t>icielle et la synergie avec la blockchain</w:t>
      </w:r>
    </w:p>
    <w:p w14:paraId="692DA0D0" w14:textId="77777777" w:rsidR="002751A4"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De son côté, l’intelligence artificielle (IA) offre des capacités avancées d’analyse de données massives, de détection d’anomalies et de génération de prédictions sur la qualité, la sécurité et la fraîcheur des pro</w:t>
      </w:r>
      <w:r>
        <w:rPr>
          <w:rFonts w:ascii="Times New Roman" w:eastAsia="Times New Roman" w:hAnsi="Times New Roman" w:cs="Times New Roman"/>
          <w:sz w:val="24"/>
          <w:szCs w:val="24"/>
        </w:rPr>
        <w:t>duits, améliorant ainsi la gestion des risques et des stocks (Rejeb et al., 2020 ; Kamilaris et al., 2019 ; Li et al., 2021). En combinaison avec la blockchain, l’IA exploite des données fiables et immuables pour produire des analyses précises et des recom</w:t>
      </w:r>
      <w:r>
        <w:rPr>
          <w:rFonts w:ascii="Times New Roman" w:eastAsia="Times New Roman" w:hAnsi="Times New Roman" w:cs="Times New Roman"/>
          <w:sz w:val="24"/>
          <w:szCs w:val="24"/>
        </w:rPr>
        <w:t>mandations pertinentes, renforçant la valeur ajoutée de la traçabilité (Rejeb et al., 2021 ; Lv et al., 2023). Cette synergie, fondée sur la sécurité de la blockchain et l’intelligence analytique de l’IA, ouvre des perspectives majeures pour favoriser la c</w:t>
      </w:r>
      <w:r>
        <w:rPr>
          <w:rFonts w:ascii="Times New Roman" w:eastAsia="Times New Roman" w:hAnsi="Times New Roman" w:cs="Times New Roman"/>
          <w:sz w:val="24"/>
          <w:szCs w:val="24"/>
        </w:rPr>
        <w:t>onsommation responsable et restaurer la confiance dans les chaînes agroalimentaires (Rejeb et al., 2020). Néanmoins, des limites persistent, notamment la perception de technologies complexes et opaques, la difficulté d’accès pour le grand public et la néce</w:t>
      </w:r>
      <w:r>
        <w:rPr>
          <w:rFonts w:ascii="Times New Roman" w:eastAsia="Times New Roman" w:hAnsi="Times New Roman" w:cs="Times New Roman"/>
          <w:sz w:val="24"/>
          <w:szCs w:val="24"/>
        </w:rPr>
        <w:t>ssité de concevoir des interfaces claires et intuitives (Wirtz et al., 2019 ; Behnke &amp; Janssen, 2020), ce qui souligne l’importance d’étudier les perceptions et comportements des consommateurs afin d’assurer leur adoption effective.</w:t>
      </w:r>
    </w:p>
    <w:p w14:paraId="41B388A0" w14:textId="77777777" w:rsidR="002751A4" w:rsidRPr="0067745F" w:rsidRDefault="00A15298" w:rsidP="002751A4">
      <w:pPr>
        <w:rPr>
          <w:rFonts w:asciiTheme="majorBidi" w:hAnsiTheme="majorBidi"/>
          <w:b/>
          <w:bCs/>
          <w:sz w:val="28"/>
          <w:szCs w:val="28"/>
        </w:rPr>
      </w:pPr>
      <w:r>
        <w:rPr>
          <w:rFonts w:asciiTheme="majorBidi" w:hAnsiTheme="majorBidi"/>
          <w:b/>
          <w:bCs/>
          <w:sz w:val="28"/>
          <w:szCs w:val="28"/>
        </w:rPr>
        <w:t>3. Théories de l’accept</w:t>
      </w:r>
      <w:r>
        <w:rPr>
          <w:rFonts w:asciiTheme="majorBidi" w:hAnsiTheme="majorBidi"/>
          <w:b/>
          <w:bCs/>
          <w:sz w:val="28"/>
          <w:szCs w:val="28"/>
        </w:rPr>
        <w:t>ation et comportements des consommateurs</w:t>
      </w:r>
    </w:p>
    <w:p w14:paraId="1F8D360C" w14:textId="77777777" w:rsidR="002751A4" w:rsidRPr="005A607D" w:rsidRDefault="00A15298" w:rsidP="002751A4">
      <w:pPr>
        <w:spacing w:before="100" w:beforeAutospacing="1" w:after="100" w:afterAutospacing="1"/>
        <w:ind w:firstLine="709"/>
        <w:rPr>
          <w:rFonts w:ascii="Times New Roman" w:eastAsia="Times New Roman" w:hAnsi="Times New Roman" w:cs="Times New Roman"/>
          <w:sz w:val="24"/>
          <w:szCs w:val="24"/>
        </w:rPr>
      </w:pPr>
      <w:r>
        <w:rPr>
          <w:rFonts w:asciiTheme="majorBidi" w:hAnsiTheme="majorBidi" w:cstheme="majorBidi"/>
          <w:sz w:val="24"/>
          <w:szCs w:val="24"/>
        </w:rPr>
        <w:t xml:space="preserve">Pour comprendre l’adoption des technologies émergentes par les consommateurs, le Technology Acceptance Model (TAM) de Davis (1989) constitue un cadre théorique central, reposant sur deux dimensions clés : l’utilité </w:t>
      </w:r>
      <w:r>
        <w:rPr>
          <w:rFonts w:asciiTheme="majorBidi" w:hAnsiTheme="majorBidi" w:cstheme="majorBidi"/>
          <w:sz w:val="24"/>
          <w:szCs w:val="24"/>
        </w:rPr>
        <w:t>perçue et la facilité d’utilisation perçue. Appliqué à l’intelligence artificielle et à la blockchain dans la traçabilité agroalimentaire (TAM-IA), ce modèle met en évidence que l’utilité perçue réside dans la capacité de ces technologies à fournir des inf</w:t>
      </w:r>
      <w:r>
        <w:rPr>
          <w:rFonts w:asciiTheme="majorBidi" w:hAnsiTheme="majorBidi" w:cstheme="majorBidi"/>
          <w:sz w:val="24"/>
          <w:szCs w:val="24"/>
        </w:rPr>
        <w:t xml:space="preserve">ormations fiables sur l’origine, la qualité et la durabilité des produits, renforçant ainsi la sécurité et la confiance des consommateurs (Marimuthu et al., 2022), tandis que la facilité d’utilisation perçue joue un rôle crucial pour réduire la complexité </w:t>
      </w:r>
      <w:r>
        <w:rPr>
          <w:rFonts w:asciiTheme="majorBidi" w:hAnsiTheme="majorBidi" w:cstheme="majorBidi"/>
          <w:sz w:val="24"/>
          <w:szCs w:val="24"/>
        </w:rPr>
        <w:t xml:space="preserve">et favoriser l’appropriation des outils (Wirtz et al., 2019). Plusieurs travaux montrent que l’intégration du TAM aux technologies intelligentes améliore la prédiction de l’adoption des systèmes numériques de </w:t>
      </w:r>
      <w:r>
        <w:rPr>
          <w:rFonts w:asciiTheme="majorBidi" w:hAnsiTheme="majorBidi" w:cstheme="majorBidi"/>
          <w:sz w:val="24"/>
          <w:szCs w:val="24"/>
        </w:rPr>
        <w:lastRenderedPageBreak/>
        <w:t xml:space="preserve">traçabilité, surtout lorsque l’IA est associée </w:t>
      </w:r>
      <w:r>
        <w:rPr>
          <w:rFonts w:asciiTheme="majorBidi" w:hAnsiTheme="majorBidi" w:cstheme="majorBidi"/>
          <w:sz w:val="24"/>
          <w:szCs w:val="24"/>
        </w:rPr>
        <w:t>à des interfaces claires et intuitives qui valorisent l’expérience utilisateur (Rejeb et al., 2020 ; Lv et al., 2023). En complément, la théorie du Nudge (Thaler &amp; Sunstein, 2008) souligne que des incitations douces, comme des rappels ou des informations f</w:t>
      </w:r>
      <w:r>
        <w:rPr>
          <w:rFonts w:asciiTheme="majorBidi" w:hAnsiTheme="majorBidi" w:cstheme="majorBidi"/>
          <w:sz w:val="24"/>
          <w:szCs w:val="24"/>
        </w:rPr>
        <w:t>acilement accessibles, peuvent orienter positivement les comportements sans restreindre la liberté de choix. Dans le domaine agroalimentaire, des applications mobiles affichant clairement l’origine, la durabilité ou la qualité des produits peuvent ainsi en</w:t>
      </w:r>
      <w:r>
        <w:rPr>
          <w:rFonts w:asciiTheme="majorBidi" w:hAnsiTheme="majorBidi" w:cstheme="majorBidi"/>
          <w:sz w:val="24"/>
          <w:szCs w:val="24"/>
        </w:rPr>
        <w:t>courager des choix de consommation plus responsables (Koop et al., 2022), réduisant l’écart souvent constaté entre intention et action. Enfin, la valeur perçue, définie par Zeithaml (1988) comme l’évaluation globale des bénéfices attendus au regard des coû</w:t>
      </w:r>
      <w:r>
        <w:rPr>
          <w:rFonts w:asciiTheme="majorBidi" w:hAnsiTheme="majorBidi" w:cstheme="majorBidi"/>
          <w:sz w:val="24"/>
          <w:szCs w:val="24"/>
        </w:rPr>
        <w:t xml:space="preserve">ts ou efforts investis, apparaît comme un facteur déterminant de l’adoption : dans le cas de la traçabilité durable, les bénéfices incluent la sécurité alimentaire, la transparence et la confiance, tandis que les coûts perçus concernent le temps, l’effort </w:t>
      </w:r>
      <w:r>
        <w:rPr>
          <w:rFonts w:asciiTheme="majorBidi" w:hAnsiTheme="majorBidi" w:cstheme="majorBidi"/>
          <w:sz w:val="24"/>
          <w:szCs w:val="24"/>
        </w:rPr>
        <w:t>cognitif ou l’investissement requis pour utiliser ces applications (Lv et al., 2023). Ainsi, l’adoption de la blockchain et de l’IA ne repose pas uniquement sur leurs performances techniques, mais également sur leur acceptabilité sociale et comportementale</w:t>
      </w:r>
      <w:r>
        <w:rPr>
          <w:rFonts w:asciiTheme="majorBidi" w:hAnsiTheme="majorBidi" w:cstheme="majorBidi"/>
          <w:sz w:val="24"/>
          <w:szCs w:val="24"/>
        </w:rPr>
        <w:t>, où l’utilité perçue, la facilité d’utilisation, la valeur perçue et les incitations comportementales constituent des leviers majeurs pour promouvoir une adoption effective et renforcer une consommation responsable (Davis, 1989 ; Thaler &amp; Sunstein, 2008 ;</w:t>
      </w:r>
      <w:r>
        <w:rPr>
          <w:rFonts w:asciiTheme="majorBidi" w:hAnsiTheme="majorBidi" w:cstheme="majorBidi"/>
          <w:sz w:val="24"/>
          <w:szCs w:val="24"/>
        </w:rPr>
        <w:t xml:space="preserve"> Zeithaml, 1988 ; Marimuthu et al., 2022 ; Wirtz et al., 2019)</w:t>
      </w:r>
    </w:p>
    <w:p w14:paraId="0FCC3001" w14:textId="77777777" w:rsidR="0FCC3001" w:rsidRDefault="00A15298">
      <w:pPr>
        <w:pStyle w:val="NormalWeb"/>
        <w:ind w:firstLine="709"/>
      </w:pPr>
      <w:r>
        <w:t>Sur la base de cette revue théorique, et en préfiguration de la phase empirique, les hypothèses suivantes guident notre recherche exploratoire et ouvrent la voie à une future validation quantit</w:t>
      </w:r>
      <w:r>
        <w:t>ative :</w:t>
      </w:r>
    </w:p>
    <w:p w14:paraId="0FCC3002" w14:textId="77777777" w:rsidR="0FCC3002" w:rsidRDefault="00A15298">
      <w:pPr>
        <w:pStyle w:val="NormalWeb"/>
        <w:ind w:firstLine="709"/>
      </w:pPr>
      <w:r>
        <w:t>H1 : L’utilité perçue de la blockchain et de l’IA influence positivement l’attitude des consommateurs envers leur adoption dans la traçabilité agroalimentaire.</w:t>
      </w:r>
    </w:p>
    <w:p w14:paraId="0FCC3003" w14:textId="77777777" w:rsidR="0FCC3003" w:rsidRDefault="00A15298">
      <w:pPr>
        <w:pStyle w:val="NormalWeb"/>
        <w:ind w:firstLine="709"/>
      </w:pPr>
      <w:r>
        <w:t>H2 : La facilité d’utilisation perçue influence positivement l’attitude des consommateurs envers l’adoption de la blockchain et de l’IA.</w:t>
      </w:r>
    </w:p>
    <w:p w14:paraId="0FCC3004" w14:textId="77777777" w:rsidR="0FCC3004" w:rsidRDefault="00A15298">
      <w:pPr>
        <w:pStyle w:val="NormalWeb"/>
        <w:ind w:firstLine="709"/>
      </w:pPr>
      <w:r>
        <w:t>H3 : La valeur perçue modère la relation entre l’attitude et l’intention d’utilisation, de telle sorte qu’une valeur pe</w:t>
      </w:r>
      <w:r>
        <w:t>rçue élevée renforce cette relation.</w:t>
      </w:r>
    </w:p>
    <w:p w14:paraId="0FCC3005" w14:textId="77777777" w:rsidR="0FCC3005" w:rsidRDefault="00A15298">
      <w:pPr>
        <w:pStyle w:val="NormalWeb"/>
        <w:ind w:firstLine="709"/>
      </w:pPr>
      <w:r>
        <w:lastRenderedPageBreak/>
        <w:t>H4 : La confiance dans la sécurité alimentaire et la durabilité influence positivement l’intention d’adopter la blockchain et l’IA dans la consommation alimentaire.</w:t>
      </w:r>
    </w:p>
    <w:p w14:paraId="0FCC3006" w14:textId="77777777" w:rsidR="0FCC3006" w:rsidRDefault="00A15298">
      <w:pPr>
        <w:pStyle w:val="NormalWeb"/>
        <w:ind w:firstLine="709"/>
      </w:pPr>
      <w:r>
        <w:t>H5 : Les nudges numériques (interfaces simples, QR cod</w:t>
      </w:r>
      <w:r>
        <w:t>es, applications mobiles intuitives) renforcent l’effet de l’attitude sur l’intention d’adoption.</w:t>
      </w:r>
    </w:p>
    <w:p w14:paraId="075F2E9F" w14:textId="77777777" w:rsidR="002751A4" w:rsidRPr="0067745F" w:rsidRDefault="00A15298" w:rsidP="002751A4">
      <w:pPr>
        <w:rPr>
          <w:rFonts w:asciiTheme="majorBidi" w:hAnsiTheme="majorBidi"/>
          <w:b/>
          <w:bCs/>
          <w:sz w:val="28"/>
          <w:szCs w:val="28"/>
        </w:rPr>
      </w:pPr>
      <w:r>
        <w:rPr>
          <w:rFonts w:asciiTheme="majorBidi" w:hAnsiTheme="majorBidi"/>
          <w:b/>
          <w:bCs/>
          <w:sz w:val="28"/>
          <w:szCs w:val="28"/>
        </w:rPr>
        <w:t>4. Méthodologie</w:t>
      </w:r>
    </w:p>
    <w:p w14:paraId="2F09F1E4" w14:textId="53E448D4" w:rsidR="002E7BCE" w:rsidRDefault="00A15298" w:rsidP="003D1197">
      <w:pPr>
        <w:pStyle w:val="NormalWeb"/>
        <w:ind w:firstLine="709"/>
      </w:pPr>
      <w:r>
        <w:t>Cette recherche s’inscrit dans une posture épistémologique interprétativiste (Girod-Séville &amp; Perret, 1999), qui vise à comprendre le sens que</w:t>
      </w:r>
      <w:r>
        <w:t xml:space="preserve"> les individus attribuent à leur expérience et à leurs pratiques, plutôt qu’à mesurer des relations causales entre variables. Une telle posture est particulièrement adaptée à l’étude d’un phénomène complexe, émergent et peu documenté dans un contexte spéci</w:t>
      </w:r>
      <w:r>
        <w:t>fique — ici, la perception des consommateurs tunisiens vis-à-vis de technologies encore peu connues comme la blockchain et l’IA dans l’agroalimentaire. Le recours à une méthodologie qualitative se justifie à plusieurs égards. Premièrement, l’objectif de la</w:t>
      </w:r>
      <w:r>
        <w:t xml:space="preserve"> recherche est exploratoire : il s’agit de comprendre des perceptions, des représentations et des mécanismes d’acceptation ou de résistance, non de tester des hypothèses préétablies (Creswell, 2013 ; Yin, 2003). Une approche quantitative aurait supposé une</w:t>
      </w:r>
      <w:r>
        <w:t xml:space="preserve"> connaissance préalable suffisante du phénomène pour construire des échelles de mesure valides, ce qui n’est pas le cas pour l’adoption de ces technologies dans le contexte tunisien, encore peu étudié empiriquement. Deuxièmement, la richesse du matériau qu</w:t>
      </w:r>
      <w:r>
        <w:t>alitatif — verbatims, gestes, expressions, nuances contextuelles — permet de saisir la complexité des représentations individuelles et d’accéder aux significations profondes que les consommateurs attribuent à la traçabilité numérique (Miles &amp; Huberman, 199</w:t>
      </w:r>
      <w:r>
        <w:t>4 ; Strauss &amp; Corbin, 1998). Troisièmement, cette démarche inductive permet de générer des hypothèses fondées empiriquement, qui pourront ultérieurement être testées par une approche quantitative plus large. Elle constitue ainsi une première étape indispen</w:t>
      </w:r>
      <w:r>
        <w:t>sable dans un processus de recherche à visée cumulative (Eisenhardt, 1989). Cette étude qualitative vise donc à explorer les perceptions, motivations et obstacles des consommateurs tunisiens vis-à-vis de l’usage combiné de la blockchain et de l’intelligenc</w:t>
      </w:r>
      <w:r>
        <w:t xml:space="preserve">e artificielle pour renforcer la traçabilité durable et transparente des produits agroalimentaires. Les données ont été recueillies à travers des entretiens semi-structurés réalisés auprès de 15 participants, représentant une diversité de </w:t>
      </w:r>
      <w:r>
        <w:lastRenderedPageBreak/>
        <w:t>profils (étudiant</w:t>
      </w:r>
      <w:r>
        <w:t xml:space="preserve">s, cadres, jeunes actifs, parents, urbains et ruraux), d’expériences d’achat et de niveaux de familiarité avec les technologies numériques. Cette approche, fondée sur les principes de diversification et de saturation des données (Pires, 1997), a permis de </w:t>
      </w:r>
      <w:r>
        <w:t>recueillir des témoignages variés et d’identifier les dynamiques d’acceptation et de résistance à l’adoption de la blockchain et de l’IA dans le contexte tunisien. Afin d’assurer une meilleure compréhension du profil des consommateurs interrogés, le tablea</w:t>
      </w:r>
      <w:r>
        <w:t>u 1 présente leurs principales caractéristiques sociodémographiques.</w:t>
      </w:r>
    </w:p>
    <w:p w14:paraId="328EF7A8" w14:textId="77777777" w:rsidR="002232D8" w:rsidRPr="00730536" w:rsidRDefault="00A15298" w:rsidP="002232D8">
      <w:pPr>
        <w:pStyle w:val="NormalWeb"/>
        <w:ind w:firstLine="709"/>
        <w:rPr>
          <w:b/>
          <w:bCs/>
        </w:rPr>
      </w:pPr>
      <w:r>
        <w:rPr>
          <w:b/>
          <w:bCs/>
        </w:rPr>
        <w:t>Tableau 1 : Caractéristiques sociodémographiques des personnes interviewées</w:t>
      </w:r>
    </w:p>
    <w:tbl>
      <w:tblPr>
        <w:tblStyle w:val="Grilledutableau"/>
        <w:tblW w:w="8874" w:type="dxa"/>
        <w:tblLook w:val="04A0" w:firstRow="1" w:lastRow="0" w:firstColumn="1" w:lastColumn="0" w:noHBand="0" w:noVBand="1"/>
      </w:tblPr>
      <w:tblGrid>
        <w:gridCol w:w="750"/>
        <w:gridCol w:w="1030"/>
        <w:gridCol w:w="990"/>
        <w:gridCol w:w="643"/>
        <w:gridCol w:w="2106"/>
        <w:gridCol w:w="1282"/>
        <w:gridCol w:w="2073"/>
      </w:tblGrid>
      <w:tr w:rsidR="002232D8" w:rsidRPr="00730536" w14:paraId="62863CE2" w14:textId="77777777" w:rsidTr="002232D8">
        <w:trPr>
          <w:trHeight w:val="698"/>
        </w:trPr>
        <w:tc>
          <w:tcPr>
            <w:tcW w:w="0" w:type="auto"/>
            <w:hideMark/>
          </w:tcPr>
          <w:p w14:paraId="31BFADB7"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Code</w:t>
            </w:r>
          </w:p>
        </w:tc>
        <w:tc>
          <w:tcPr>
            <w:tcW w:w="0" w:type="auto"/>
            <w:hideMark/>
          </w:tcPr>
          <w:p w14:paraId="21781C79"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Prénom</w:t>
            </w:r>
          </w:p>
        </w:tc>
        <w:tc>
          <w:tcPr>
            <w:tcW w:w="0" w:type="auto"/>
            <w:hideMark/>
          </w:tcPr>
          <w:p w14:paraId="17E92361"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Sexe</w:t>
            </w:r>
          </w:p>
        </w:tc>
        <w:tc>
          <w:tcPr>
            <w:tcW w:w="0" w:type="auto"/>
            <w:hideMark/>
          </w:tcPr>
          <w:p w14:paraId="65FEF669"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Âge</w:t>
            </w:r>
          </w:p>
        </w:tc>
        <w:tc>
          <w:tcPr>
            <w:tcW w:w="0" w:type="auto"/>
            <w:hideMark/>
          </w:tcPr>
          <w:p w14:paraId="01400080"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Statut/Profession</w:t>
            </w:r>
          </w:p>
        </w:tc>
        <w:tc>
          <w:tcPr>
            <w:tcW w:w="0" w:type="auto"/>
            <w:hideMark/>
          </w:tcPr>
          <w:p w14:paraId="0F5FE6A0"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Lieu de résidence</w:t>
            </w:r>
          </w:p>
        </w:tc>
        <w:tc>
          <w:tcPr>
            <w:tcW w:w="0" w:type="auto"/>
            <w:hideMark/>
          </w:tcPr>
          <w:p w14:paraId="6D1F3D79" w14:textId="77777777" w:rsidR="002232D8" w:rsidRPr="00730536" w:rsidRDefault="00A15298" w:rsidP="00FB3514">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Profil particulier</w:t>
            </w:r>
          </w:p>
        </w:tc>
      </w:tr>
      <w:tr w:rsidR="002232D8" w:rsidRPr="00730536" w14:paraId="5BA2242E" w14:textId="77777777" w:rsidTr="002232D8">
        <w:trPr>
          <w:trHeight w:val="698"/>
        </w:trPr>
        <w:tc>
          <w:tcPr>
            <w:tcW w:w="0" w:type="auto"/>
            <w:hideMark/>
          </w:tcPr>
          <w:p w14:paraId="52DA9E51"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hideMark/>
          </w:tcPr>
          <w:p w14:paraId="27F858B4"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Sarah</w:t>
            </w:r>
          </w:p>
        </w:tc>
        <w:tc>
          <w:tcPr>
            <w:tcW w:w="0" w:type="auto"/>
            <w:hideMark/>
          </w:tcPr>
          <w:p w14:paraId="7D6FAB9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40175EA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ans</w:t>
            </w:r>
          </w:p>
        </w:tc>
        <w:tc>
          <w:tcPr>
            <w:tcW w:w="0" w:type="auto"/>
            <w:hideMark/>
          </w:tcPr>
          <w:p w14:paraId="5B981F5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Citadine, employée</w:t>
            </w:r>
          </w:p>
        </w:tc>
        <w:tc>
          <w:tcPr>
            <w:tcW w:w="0" w:type="auto"/>
            <w:hideMark/>
          </w:tcPr>
          <w:p w14:paraId="75F7162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231AF127"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Sensible au bio</w:t>
            </w:r>
          </w:p>
        </w:tc>
      </w:tr>
      <w:tr w:rsidR="002232D8" w:rsidRPr="00730536" w14:paraId="506CFBF7" w14:textId="77777777" w:rsidTr="002232D8">
        <w:trPr>
          <w:trHeight w:val="698"/>
        </w:trPr>
        <w:tc>
          <w:tcPr>
            <w:tcW w:w="0" w:type="auto"/>
            <w:hideMark/>
          </w:tcPr>
          <w:p w14:paraId="7652EFB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tc>
        <w:tc>
          <w:tcPr>
            <w:tcW w:w="0" w:type="auto"/>
            <w:hideMark/>
          </w:tcPr>
          <w:p w14:paraId="66C26A9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Ahmed</w:t>
            </w:r>
          </w:p>
        </w:tc>
        <w:tc>
          <w:tcPr>
            <w:tcW w:w="0" w:type="auto"/>
            <w:hideMark/>
          </w:tcPr>
          <w:p w14:paraId="4B7FDE20"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03793F1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 ans</w:t>
            </w:r>
          </w:p>
        </w:tc>
        <w:tc>
          <w:tcPr>
            <w:tcW w:w="0" w:type="auto"/>
            <w:hideMark/>
          </w:tcPr>
          <w:p w14:paraId="5D769B3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Père de famille</w:t>
            </w:r>
          </w:p>
        </w:tc>
        <w:tc>
          <w:tcPr>
            <w:tcW w:w="0" w:type="auto"/>
            <w:hideMark/>
          </w:tcPr>
          <w:p w14:paraId="2A2E685A"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5165FB7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qualité/prix</w:t>
            </w:r>
          </w:p>
        </w:tc>
      </w:tr>
      <w:tr w:rsidR="002232D8" w:rsidRPr="00730536" w14:paraId="6F46E44F" w14:textId="77777777" w:rsidTr="002232D8">
        <w:trPr>
          <w:trHeight w:val="686"/>
        </w:trPr>
        <w:tc>
          <w:tcPr>
            <w:tcW w:w="0" w:type="auto"/>
            <w:hideMark/>
          </w:tcPr>
          <w:p w14:paraId="000B169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tc>
        <w:tc>
          <w:tcPr>
            <w:tcW w:w="0" w:type="auto"/>
            <w:hideMark/>
          </w:tcPr>
          <w:p w14:paraId="446F3D6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Leila</w:t>
            </w:r>
          </w:p>
        </w:tc>
        <w:tc>
          <w:tcPr>
            <w:tcW w:w="0" w:type="auto"/>
            <w:hideMark/>
          </w:tcPr>
          <w:p w14:paraId="7A92A2D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667E934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ans</w:t>
            </w:r>
          </w:p>
        </w:tc>
        <w:tc>
          <w:tcPr>
            <w:tcW w:w="0" w:type="auto"/>
            <w:hideMark/>
          </w:tcPr>
          <w:p w14:paraId="20E433C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Jeune active</w:t>
            </w:r>
          </w:p>
        </w:tc>
        <w:tc>
          <w:tcPr>
            <w:tcW w:w="0" w:type="auto"/>
            <w:hideMark/>
          </w:tcPr>
          <w:p w14:paraId="6DA41DB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4C157C1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Sensible à la santé</w:t>
            </w:r>
          </w:p>
        </w:tc>
      </w:tr>
      <w:tr w:rsidR="002232D8" w:rsidRPr="00730536" w14:paraId="01143FB5" w14:textId="77777777" w:rsidTr="002232D8">
        <w:trPr>
          <w:trHeight w:val="698"/>
        </w:trPr>
        <w:tc>
          <w:tcPr>
            <w:tcW w:w="0" w:type="auto"/>
            <w:hideMark/>
          </w:tcPr>
          <w:p w14:paraId="0DB19600"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C4</w:t>
            </w:r>
          </w:p>
        </w:tc>
        <w:tc>
          <w:tcPr>
            <w:tcW w:w="0" w:type="auto"/>
            <w:hideMark/>
          </w:tcPr>
          <w:p w14:paraId="70D435A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Youssef</w:t>
            </w:r>
          </w:p>
        </w:tc>
        <w:tc>
          <w:tcPr>
            <w:tcW w:w="0" w:type="auto"/>
            <w:hideMark/>
          </w:tcPr>
          <w:p w14:paraId="181BDFC1"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0063A1B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 ans</w:t>
            </w:r>
          </w:p>
        </w:tc>
        <w:tc>
          <w:tcPr>
            <w:tcW w:w="0" w:type="auto"/>
            <w:hideMark/>
          </w:tcPr>
          <w:p w14:paraId="093ECE1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Producteur &amp; consommateur</w:t>
            </w:r>
          </w:p>
        </w:tc>
        <w:tc>
          <w:tcPr>
            <w:tcW w:w="0" w:type="auto"/>
            <w:hideMark/>
          </w:tcPr>
          <w:p w14:paraId="4974B9B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w:t>
            </w:r>
          </w:p>
        </w:tc>
        <w:tc>
          <w:tcPr>
            <w:tcW w:w="0" w:type="auto"/>
            <w:hideMark/>
          </w:tcPr>
          <w:p w14:paraId="1E06AC7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Consommation locale</w:t>
            </w:r>
          </w:p>
        </w:tc>
      </w:tr>
      <w:tr w:rsidR="002232D8" w:rsidRPr="00730536" w14:paraId="7F3CD815" w14:textId="77777777" w:rsidTr="002232D8">
        <w:trPr>
          <w:trHeight w:val="698"/>
        </w:trPr>
        <w:tc>
          <w:tcPr>
            <w:tcW w:w="0" w:type="auto"/>
            <w:hideMark/>
          </w:tcPr>
          <w:p w14:paraId="00DCC5B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C5</w:t>
            </w:r>
          </w:p>
        </w:tc>
        <w:tc>
          <w:tcPr>
            <w:tcW w:w="0" w:type="auto"/>
            <w:hideMark/>
          </w:tcPr>
          <w:p w14:paraId="309ACC5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Fatma</w:t>
            </w:r>
          </w:p>
        </w:tc>
        <w:tc>
          <w:tcPr>
            <w:tcW w:w="0" w:type="auto"/>
            <w:hideMark/>
          </w:tcPr>
          <w:p w14:paraId="3D9DDB11"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6BE9E1D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ans</w:t>
            </w:r>
          </w:p>
        </w:tc>
        <w:tc>
          <w:tcPr>
            <w:tcW w:w="0" w:type="auto"/>
            <w:hideMark/>
          </w:tcPr>
          <w:p w14:paraId="068AFD2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Mère au foyer</w:t>
            </w:r>
          </w:p>
        </w:tc>
        <w:tc>
          <w:tcPr>
            <w:tcW w:w="0" w:type="auto"/>
            <w:hideMark/>
          </w:tcPr>
          <w:p w14:paraId="1D1DC204"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Urbain </w:t>
            </w:r>
          </w:p>
        </w:tc>
        <w:tc>
          <w:tcPr>
            <w:tcW w:w="0" w:type="auto"/>
            <w:hideMark/>
          </w:tcPr>
          <w:p w14:paraId="19A8E3E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Privilégie bio et local</w:t>
            </w:r>
          </w:p>
        </w:tc>
      </w:tr>
      <w:tr w:rsidR="002232D8" w:rsidRPr="00730536" w14:paraId="5DA4E2DE" w14:textId="77777777" w:rsidTr="002232D8">
        <w:trPr>
          <w:trHeight w:val="698"/>
        </w:trPr>
        <w:tc>
          <w:tcPr>
            <w:tcW w:w="0" w:type="auto"/>
            <w:hideMark/>
          </w:tcPr>
          <w:p w14:paraId="5C3A876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C6</w:t>
            </w:r>
          </w:p>
        </w:tc>
        <w:tc>
          <w:tcPr>
            <w:tcW w:w="0" w:type="auto"/>
            <w:hideMark/>
          </w:tcPr>
          <w:p w14:paraId="4C6A4CB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Karim</w:t>
            </w:r>
          </w:p>
        </w:tc>
        <w:tc>
          <w:tcPr>
            <w:tcW w:w="0" w:type="auto"/>
            <w:hideMark/>
          </w:tcPr>
          <w:p w14:paraId="250E0CC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270E0C23"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 ans</w:t>
            </w:r>
          </w:p>
        </w:tc>
        <w:tc>
          <w:tcPr>
            <w:tcW w:w="0" w:type="auto"/>
            <w:hideMark/>
          </w:tcPr>
          <w:p w14:paraId="60F45143"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Cadre</w:t>
            </w:r>
          </w:p>
        </w:tc>
        <w:tc>
          <w:tcPr>
            <w:tcW w:w="0" w:type="auto"/>
            <w:hideMark/>
          </w:tcPr>
          <w:p w14:paraId="17DE5A2C"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483613D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Intérêt pour la qualité</w:t>
            </w:r>
          </w:p>
        </w:tc>
      </w:tr>
      <w:tr w:rsidR="002232D8" w:rsidRPr="00730536" w14:paraId="2342F971" w14:textId="77777777" w:rsidTr="002232D8">
        <w:trPr>
          <w:trHeight w:val="698"/>
        </w:trPr>
        <w:tc>
          <w:tcPr>
            <w:tcW w:w="0" w:type="auto"/>
            <w:hideMark/>
          </w:tcPr>
          <w:p w14:paraId="19A059D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C7</w:t>
            </w:r>
          </w:p>
        </w:tc>
        <w:tc>
          <w:tcPr>
            <w:tcW w:w="0" w:type="auto"/>
            <w:hideMark/>
          </w:tcPr>
          <w:p w14:paraId="37A30B8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Nadia</w:t>
            </w:r>
          </w:p>
        </w:tc>
        <w:tc>
          <w:tcPr>
            <w:tcW w:w="0" w:type="auto"/>
            <w:hideMark/>
          </w:tcPr>
          <w:p w14:paraId="04FE415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291E684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ans</w:t>
            </w:r>
          </w:p>
        </w:tc>
        <w:tc>
          <w:tcPr>
            <w:tcW w:w="0" w:type="auto"/>
            <w:hideMark/>
          </w:tcPr>
          <w:p w14:paraId="0E9316F4"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Étudiante</w:t>
            </w:r>
          </w:p>
        </w:tc>
        <w:tc>
          <w:tcPr>
            <w:tcW w:w="0" w:type="auto"/>
            <w:hideMark/>
          </w:tcPr>
          <w:p w14:paraId="3BE45A1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42612130"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Préférence bio/local</w:t>
            </w:r>
          </w:p>
        </w:tc>
      </w:tr>
      <w:tr w:rsidR="002232D8" w:rsidRPr="00730536" w14:paraId="4F50754F" w14:textId="77777777" w:rsidTr="002232D8">
        <w:trPr>
          <w:trHeight w:val="698"/>
        </w:trPr>
        <w:tc>
          <w:tcPr>
            <w:tcW w:w="0" w:type="auto"/>
            <w:hideMark/>
          </w:tcPr>
          <w:p w14:paraId="5B68371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C8</w:t>
            </w:r>
          </w:p>
        </w:tc>
        <w:tc>
          <w:tcPr>
            <w:tcW w:w="0" w:type="auto"/>
            <w:hideMark/>
          </w:tcPr>
          <w:p w14:paraId="4815914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Sami</w:t>
            </w:r>
          </w:p>
        </w:tc>
        <w:tc>
          <w:tcPr>
            <w:tcW w:w="0" w:type="auto"/>
            <w:hideMark/>
          </w:tcPr>
          <w:p w14:paraId="7E72D4D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165C0E9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 ans</w:t>
            </w:r>
          </w:p>
        </w:tc>
        <w:tc>
          <w:tcPr>
            <w:tcW w:w="0" w:type="auto"/>
            <w:hideMark/>
          </w:tcPr>
          <w:p w14:paraId="64A9035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w:t>
            </w:r>
          </w:p>
        </w:tc>
        <w:tc>
          <w:tcPr>
            <w:tcW w:w="0" w:type="auto"/>
            <w:hideMark/>
          </w:tcPr>
          <w:p w14:paraId="42F1C87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50A46F5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Achète local/bio si </w:t>
            </w:r>
            <w:r>
              <w:rPr>
                <w:rFonts w:ascii="Times New Roman" w:eastAsia="Times New Roman" w:hAnsi="Times New Roman" w:cs="Times New Roman"/>
                <w:sz w:val="24"/>
                <w:szCs w:val="24"/>
              </w:rPr>
              <w:t>possible</w:t>
            </w:r>
          </w:p>
        </w:tc>
      </w:tr>
      <w:tr w:rsidR="002232D8" w:rsidRPr="00730536" w14:paraId="11845280" w14:textId="77777777" w:rsidTr="002232D8">
        <w:trPr>
          <w:trHeight w:val="698"/>
        </w:trPr>
        <w:tc>
          <w:tcPr>
            <w:tcW w:w="0" w:type="auto"/>
            <w:hideMark/>
          </w:tcPr>
          <w:p w14:paraId="5CB13894"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C9</w:t>
            </w:r>
          </w:p>
        </w:tc>
        <w:tc>
          <w:tcPr>
            <w:tcW w:w="0" w:type="auto"/>
            <w:hideMark/>
          </w:tcPr>
          <w:p w14:paraId="15D480A7"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Hiba</w:t>
            </w:r>
          </w:p>
        </w:tc>
        <w:tc>
          <w:tcPr>
            <w:tcW w:w="0" w:type="auto"/>
            <w:hideMark/>
          </w:tcPr>
          <w:p w14:paraId="145835F3"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171A765C"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ans</w:t>
            </w:r>
          </w:p>
        </w:tc>
        <w:tc>
          <w:tcPr>
            <w:tcW w:w="0" w:type="auto"/>
            <w:hideMark/>
          </w:tcPr>
          <w:p w14:paraId="6D3B5B0C"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Consultante</w:t>
            </w:r>
          </w:p>
        </w:tc>
        <w:tc>
          <w:tcPr>
            <w:tcW w:w="0" w:type="auto"/>
            <w:hideMark/>
          </w:tcPr>
          <w:p w14:paraId="1920BAF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17B18D3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Consommation bio</w:t>
            </w:r>
          </w:p>
        </w:tc>
      </w:tr>
      <w:tr w:rsidR="002232D8" w:rsidRPr="00730536" w14:paraId="7B0D351D" w14:textId="77777777" w:rsidTr="002232D8">
        <w:trPr>
          <w:trHeight w:val="686"/>
        </w:trPr>
        <w:tc>
          <w:tcPr>
            <w:tcW w:w="0" w:type="auto"/>
            <w:hideMark/>
          </w:tcPr>
          <w:p w14:paraId="1C5DBD3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C10</w:t>
            </w:r>
          </w:p>
        </w:tc>
        <w:tc>
          <w:tcPr>
            <w:tcW w:w="0" w:type="auto"/>
            <w:hideMark/>
          </w:tcPr>
          <w:p w14:paraId="533089B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Mehdi</w:t>
            </w:r>
          </w:p>
        </w:tc>
        <w:tc>
          <w:tcPr>
            <w:tcW w:w="0" w:type="auto"/>
            <w:hideMark/>
          </w:tcPr>
          <w:p w14:paraId="0821490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7FFAF61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 ans</w:t>
            </w:r>
          </w:p>
        </w:tc>
        <w:tc>
          <w:tcPr>
            <w:tcW w:w="0" w:type="auto"/>
            <w:hideMark/>
          </w:tcPr>
          <w:p w14:paraId="59C0CAA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Ouvrier</w:t>
            </w:r>
          </w:p>
        </w:tc>
        <w:tc>
          <w:tcPr>
            <w:tcW w:w="0" w:type="auto"/>
            <w:hideMark/>
          </w:tcPr>
          <w:p w14:paraId="542BE001"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Rural</w:t>
            </w:r>
          </w:p>
        </w:tc>
        <w:tc>
          <w:tcPr>
            <w:tcW w:w="0" w:type="auto"/>
            <w:hideMark/>
          </w:tcPr>
          <w:p w14:paraId="323D770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Autoproduction partielle</w:t>
            </w:r>
          </w:p>
        </w:tc>
      </w:tr>
      <w:tr w:rsidR="002232D8" w:rsidRPr="00730536" w14:paraId="40BAFA1D" w14:textId="77777777" w:rsidTr="002232D8">
        <w:trPr>
          <w:trHeight w:val="698"/>
        </w:trPr>
        <w:tc>
          <w:tcPr>
            <w:tcW w:w="0" w:type="auto"/>
            <w:hideMark/>
          </w:tcPr>
          <w:p w14:paraId="44BBA25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C11</w:t>
            </w:r>
          </w:p>
        </w:tc>
        <w:tc>
          <w:tcPr>
            <w:tcW w:w="0" w:type="auto"/>
            <w:hideMark/>
          </w:tcPr>
          <w:p w14:paraId="6D504A9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Amira</w:t>
            </w:r>
          </w:p>
        </w:tc>
        <w:tc>
          <w:tcPr>
            <w:tcW w:w="0" w:type="auto"/>
            <w:hideMark/>
          </w:tcPr>
          <w:p w14:paraId="3C4B1C70"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288EBF8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 ans</w:t>
            </w:r>
          </w:p>
        </w:tc>
        <w:tc>
          <w:tcPr>
            <w:tcW w:w="0" w:type="auto"/>
            <w:hideMark/>
          </w:tcPr>
          <w:p w14:paraId="0756FC9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Cadre</w:t>
            </w:r>
          </w:p>
        </w:tc>
        <w:tc>
          <w:tcPr>
            <w:tcW w:w="0" w:type="auto"/>
            <w:hideMark/>
          </w:tcPr>
          <w:p w14:paraId="2F24A5B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2BF713A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Vérifie étiquettes</w:t>
            </w:r>
          </w:p>
        </w:tc>
      </w:tr>
      <w:tr w:rsidR="002232D8" w:rsidRPr="00730536" w14:paraId="6D9E6A19" w14:textId="77777777" w:rsidTr="002232D8">
        <w:trPr>
          <w:trHeight w:val="698"/>
        </w:trPr>
        <w:tc>
          <w:tcPr>
            <w:tcW w:w="0" w:type="auto"/>
            <w:hideMark/>
          </w:tcPr>
          <w:p w14:paraId="601A06B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C12</w:t>
            </w:r>
          </w:p>
        </w:tc>
        <w:tc>
          <w:tcPr>
            <w:tcW w:w="0" w:type="auto"/>
            <w:hideMark/>
          </w:tcPr>
          <w:p w14:paraId="617FC489"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Rami</w:t>
            </w:r>
          </w:p>
        </w:tc>
        <w:tc>
          <w:tcPr>
            <w:tcW w:w="0" w:type="auto"/>
            <w:hideMark/>
          </w:tcPr>
          <w:p w14:paraId="7DA3AED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0B7807C4"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 ans</w:t>
            </w:r>
          </w:p>
        </w:tc>
        <w:tc>
          <w:tcPr>
            <w:tcW w:w="0" w:type="auto"/>
            <w:hideMark/>
          </w:tcPr>
          <w:p w14:paraId="16CE9597"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Étudiant</w:t>
            </w:r>
          </w:p>
        </w:tc>
        <w:tc>
          <w:tcPr>
            <w:tcW w:w="0" w:type="auto"/>
            <w:hideMark/>
          </w:tcPr>
          <w:p w14:paraId="0E4D7BDA"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4D95244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Consommation pratique</w:t>
            </w:r>
          </w:p>
        </w:tc>
      </w:tr>
      <w:tr w:rsidR="002232D8" w:rsidRPr="00730536" w14:paraId="390D6698" w14:textId="77777777" w:rsidTr="002232D8">
        <w:trPr>
          <w:trHeight w:val="698"/>
        </w:trPr>
        <w:tc>
          <w:tcPr>
            <w:tcW w:w="0" w:type="auto"/>
            <w:hideMark/>
          </w:tcPr>
          <w:p w14:paraId="71592FE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C13</w:t>
            </w:r>
          </w:p>
        </w:tc>
        <w:tc>
          <w:tcPr>
            <w:tcW w:w="0" w:type="auto"/>
            <w:hideMark/>
          </w:tcPr>
          <w:p w14:paraId="058F7D4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Salma</w:t>
            </w:r>
          </w:p>
        </w:tc>
        <w:tc>
          <w:tcPr>
            <w:tcW w:w="0" w:type="auto"/>
            <w:hideMark/>
          </w:tcPr>
          <w:p w14:paraId="6CC59D80"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743824B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ans</w:t>
            </w:r>
          </w:p>
        </w:tc>
        <w:tc>
          <w:tcPr>
            <w:tcW w:w="0" w:type="auto"/>
            <w:hideMark/>
          </w:tcPr>
          <w:p w14:paraId="28E686E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Jeune active</w:t>
            </w:r>
          </w:p>
        </w:tc>
        <w:tc>
          <w:tcPr>
            <w:tcW w:w="0" w:type="auto"/>
            <w:hideMark/>
          </w:tcPr>
          <w:p w14:paraId="2ED346AF"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7A4B6277"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Préférence bio/local</w:t>
            </w:r>
          </w:p>
        </w:tc>
      </w:tr>
      <w:tr w:rsidR="002232D8" w:rsidRPr="00730536" w14:paraId="64584203" w14:textId="77777777" w:rsidTr="002232D8">
        <w:trPr>
          <w:trHeight w:val="698"/>
        </w:trPr>
        <w:tc>
          <w:tcPr>
            <w:tcW w:w="0" w:type="auto"/>
            <w:hideMark/>
          </w:tcPr>
          <w:p w14:paraId="5225965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C14</w:t>
            </w:r>
          </w:p>
        </w:tc>
        <w:tc>
          <w:tcPr>
            <w:tcW w:w="0" w:type="auto"/>
            <w:hideMark/>
          </w:tcPr>
          <w:p w14:paraId="07050EC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Nabil</w:t>
            </w:r>
          </w:p>
        </w:tc>
        <w:tc>
          <w:tcPr>
            <w:tcW w:w="0" w:type="auto"/>
            <w:hideMark/>
          </w:tcPr>
          <w:p w14:paraId="681592BB"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Homme</w:t>
            </w:r>
          </w:p>
        </w:tc>
        <w:tc>
          <w:tcPr>
            <w:tcW w:w="0" w:type="auto"/>
            <w:hideMark/>
          </w:tcPr>
          <w:p w14:paraId="1EAAFBFC"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 ans</w:t>
            </w:r>
          </w:p>
        </w:tc>
        <w:tc>
          <w:tcPr>
            <w:tcW w:w="0" w:type="auto"/>
            <w:hideMark/>
          </w:tcPr>
          <w:p w14:paraId="2091A32D"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Cadre</w:t>
            </w:r>
          </w:p>
        </w:tc>
        <w:tc>
          <w:tcPr>
            <w:tcW w:w="0" w:type="auto"/>
            <w:hideMark/>
          </w:tcPr>
          <w:p w14:paraId="0E2DCAC5"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0DC89DB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labels/provenance</w:t>
            </w:r>
          </w:p>
        </w:tc>
      </w:tr>
      <w:tr w:rsidR="002232D8" w:rsidRPr="00730536" w14:paraId="7B5AF290" w14:textId="77777777" w:rsidTr="002232D8">
        <w:trPr>
          <w:trHeight w:val="698"/>
        </w:trPr>
        <w:tc>
          <w:tcPr>
            <w:tcW w:w="0" w:type="auto"/>
            <w:hideMark/>
          </w:tcPr>
          <w:p w14:paraId="28E94B93"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C15</w:t>
            </w:r>
          </w:p>
        </w:tc>
        <w:tc>
          <w:tcPr>
            <w:tcW w:w="0" w:type="auto"/>
            <w:hideMark/>
          </w:tcPr>
          <w:p w14:paraId="1905221E"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Lina</w:t>
            </w:r>
          </w:p>
        </w:tc>
        <w:tc>
          <w:tcPr>
            <w:tcW w:w="0" w:type="auto"/>
            <w:hideMark/>
          </w:tcPr>
          <w:p w14:paraId="74FA98F6"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Femme</w:t>
            </w:r>
          </w:p>
        </w:tc>
        <w:tc>
          <w:tcPr>
            <w:tcW w:w="0" w:type="auto"/>
            <w:hideMark/>
          </w:tcPr>
          <w:p w14:paraId="4CCAFAD2"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ans</w:t>
            </w:r>
          </w:p>
        </w:tc>
        <w:tc>
          <w:tcPr>
            <w:tcW w:w="0" w:type="auto"/>
            <w:hideMark/>
          </w:tcPr>
          <w:p w14:paraId="2205220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Consultante</w:t>
            </w:r>
          </w:p>
        </w:tc>
        <w:tc>
          <w:tcPr>
            <w:tcW w:w="0" w:type="auto"/>
            <w:hideMark/>
          </w:tcPr>
          <w:p w14:paraId="39F75B4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Urbain</w:t>
            </w:r>
          </w:p>
        </w:tc>
        <w:tc>
          <w:tcPr>
            <w:tcW w:w="0" w:type="auto"/>
            <w:hideMark/>
          </w:tcPr>
          <w:p w14:paraId="6175B2D8" w14:textId="77777777" w:rsidR="002232D8" w:rsidRPr="00730536" w:rsidRDefault="00A15298" w:rsidP="00FB351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 et circuits courts</w:t>
            </w:r>
          </w:p>
        </w:tc>
      </w:tr>
    </w:tbl>
    <w:p w14:paraId="3C6BEC81" w14:textId="05E6D83D" w:rsidR="003D1197" w:rsidRPr="003D1197" w:rsidRDefault="003D1197" w:rsidP="003D1197">
      <w:pPr>
        <w:pStyle w:val="NormalWeb"/>
        <w:ind w:firstLine="709"/>
        <w:jc w:val="right"/>
        <w:rPr>
          <w:b/>
          <w:bCs/>
        </w:rPr>
      </w:pPr>
      <w:r w:rsidRPr="003D1197">
        <w:rPr>
          <w:b/>
          <w:bCs/>
        </w:rPr>
        <w:t>Source : Élaborée par les auteurs</w:t>
      </w:r>
    </w:p>
    <w:p w14:paraId="4C802E33" w14:textId="77CADC22" w:rsidR="002751A4" w:rsidRDefault="00A15298" w:rsidP="000F714E">
      <w:pPr>
        <w:pStyle w:val="NormalWeb"/>
        <w:ind w:firstLine="709"/>
      </w:pPr>
      <w:r>
        <w:t xml:space="preserve">Chaque entretien, d’une durée comprise entre 30 et 60 </w:t>
      </w:r>
      <w:r>
        <w:t>minutes, a été enregistré avec le consentement éclairé des participants afin de garantir une transcription fidèle. Les données collectées ont ensuite été analysées selon une approche thématique en six étapes (Braun &amp; Clarke, 2006) : (1) familiarisation ave</w:t>
      </w:r>
      <w:r>
        <w:t>c les données, (2) génération des codes initiaux, (3) identification des thèmes, (4) révision des thèmes, (5) définition des thèmes, et (6) rédaction du rapport final, à l’aide du logiciel Atlas.ti, permettant une organisation rigoureuse et une identificat</w:t>
      </w:r>
      <w:r>
        <w:t>ion précise des principaux thèmes émergents.</w:t>
      </w:r>
    </w:p>
    <w:p w14:paraId="6C793710" w14:textId="3749F594" w:rsidR="002751A4" w:rsidRDefault="00A15298" w:rsidP="002751A4">
      <w:pPr>
        <w:pStyle w:val="NormalWeb"/>
        <w:ind w:firstLine="709"/>
      </w:pPr>
      <w:r>
        <w:t xml:space="preserve">Un guide d’entretien unique a été utilisé pour l’ensemble des participants, avec une adaptation des questions selon le profil de chacun (âge, profession, localisation, habitudes de consommation). Cette approche </w:t>
      </w:r>
      <w:r>
        <w:t>assure une cohérence thématique et facilite l’analyse comparative des perceptions, mettant en évidence les divergences entre les consommateurs urbains et ruraux, ainsi que les variations selon la sensibilité aux labels bio, aux circuits courts ou aux techn</w:t>
      </w:r>
      <w:r>
        <w:t>ologies numériques. Elle permet également d’identifier les freins et opportunités perçus, ainsi que les facteurs influençant l’acceptation et l’utilisation effective de ces technologies pour la traçabilité durable (Garcia &amp; Lee, 2021). Les participants ont</w:t>
      </w:r>
      <w:r>
        <w:t xml:space="preserve"> été interrogés sur leurs pratiques d’achat, leur compréhension et confiance vis-à-vis des systèmes numériques, ainsi que leur perception de la durabilité et de la sécurité alimentaire.</w:t>
      </w:r>
    </w:p>
    <w:p w14:paraId="2B5F114C" w14:textId="77777777" w:rsidR="00473DCD" w:rsidRDefault="00473DCD" w:rsidP="002751A4">
      <w:pPr>
        <w:pStyle w:val="NormalWeb"/>
        <w:ind w:firstLine="709"/>
      </w:pPr>
    </w:p>
    <w:p w14:paraId="66B0F4E4" w14:textId="77777777" w:rsidR="002751A4" w:rsidRPr="00D11334" w:rsidRDefault="00A15298" w:rsidP="002751A4">
      <w:pPr>
        <w:rPr>
          <w:rFonts w:asciiTheme="majorBidi" w:hAnsiTheme="majorBidi"/>
          <w:b/>
          <w:bCs/>
          <w:sz w:val="28"/>
          <w:szCs w:val="28"/>
        </w:rPr>
      </w:pPr>
      <w:r>
        <w:rPr>
          <w:rFonts w:asciiTheme="majorBidi" w:hAnsiTheme="majorBidi"/>
          <w:b/>
          <w:bCs/>
          <w:sz w:val="28"/>
          <w:szCs w:val="28"/>
        </w:rPr>
        <w:lastRenderedPageBreak/>
        <w:t>5. Résultats</w:t>
      </w:r>
    </w:p>
    <w:p w14:paraId="2DAFB87B" w14:textId="77777777" w:rsidR="002751A4" w:rsidRDefault="00A15298" w:rsidP="002751A4">
      <w:pPr>
        <w:pStyle w:val="NormalWeb"/>
        <w:ind w:firstLine="709"/>
      </w:pPr>
      <w:r>
        <w:t xml:space="preserve">Les résultats de cette étude qualitative, issus de </w:t>
      </w:r>
      <w:r>
        <w:t>l’analyse thématique des entretiens, s’articulent autour de cinq thèmes principaux : (1) les habitudes de consommation, (2) la perception de la traçabilité, (3) la confiance et la durabilité, (4) l’acceptabilité des technologies blockchain et IA, et (5) le</w:t>
      </w:r>
      <w:r>
        <w:t>s motivations et freins à l’adoption. Cette organisation permet de mettre en évidence les perceptions des consommateurs et des experts, en les confrontant aux enseignements de la littérature existante.</w:t>
      </w:r>
    </w:p>
    <w:p w14:paraId="494509F8" w14:textId="77777777" w:rsidR="002751A4" w:rsidRPr="001A7CE4" w:rsidRDefault="00A15298" w:rsidP="002751A4">
      <w:pPr>
        <w:rPr>
          <w:rFonts w:asciiTheme="majorBidi" w:hAnsiTheme="majorBidi"/>
          <w:b/>
          <w:bCs/>
          <w:sz w:val="28"/>
          <w:szCs w:val="28"/>
        </w:rPr>
      </w:pPr>
      <w:r>
        <w:rPr>
          <w:rFonts w:asciiTheme="majorBidi" w:hAnsiTheme="majorBidi"/>
          <w:b/>
          <w:bCs/>
          <w:sz w:val="28"/>
          <w:szCs w:val="28"/>
        </w:rPr>
        <w:t>5.1. Habitudes de consommation</w:t>
      </w:r>
    </w:p>
    <w:p w14:paraId="789C4D47" w14:textId="77777777" w:rsidR="002751A4" w:rsidRPr="00BB32FA" w:rsidRDefault="00A15298" w:rsidP="002751A4">
      <w:pPr>
        <w:ind w:firstLine="709"/>
        <w:rPr>
          <w:rFonts w:asciiTheme="majorBidi" w:hAnsiTheme="majorBidi" w:cstheme="majorBidi"/>
          <w:sz w:val="24"/>
          <w:szCs w:val="24"/>
        </w:rPr>
      </w:pPr>
      <w:r>
        <w:rPr>
          <w:rFonts w:asciiTheme="majorBidi" w:hAnsiTheme="majorBidi" w:cstheme="majorBidi"/>
          <w:sz w:val="24"/>
          <w:szCs w:val="24"/>
        </w:rPr>
        <w:t>Les entretiens révèlent</w:t>
      </w:r>
      <w:r>
        <w:rPr>
          <w:rFonts w:asciiTheme="majorBidi" w:hAnsiTheme="majorBidi" w:cstheme="majorBidi"/>
          <w:sz w:val="24"/>
          <w:szCs w:val="24"/>
        </w:rPr>
        <w:t xml:space="preserve"> une forte sensibilité des consommateurs tunisiens à la fraîcheur et à l’origine des produits, mais cette exigence reste systématiquement mise en tension avec la contrainte du prix.</w:t>
      </w:r>
    </w:p>
    <w:p w14:paraId="0FCC5101" w14:textId="77777777" w:rsidR="0FCC5101" w:rsidRDefault="00A15298">
      <w:pPr>
        <w:pStyle w:val="NormalWeb"/>
        <w:ind w:firstLine="709"/>
      </w:pPr>
      <w:r>
        <w:t xml:space="preserve">Ainsi, Sarah (C1), 28 ans, citadine sensible au bio, confie : « Pour moi, </w:t>
      </w:r>
      <w:r>
        <w:t>je regarde surtout si le produit est frais, mais je ne m’intéresse pas toujours à l’étiquette ». Cette posture illustre ce que Schleenbecker et Hamm (2013) qualifient de « confiance visuelle », où l’évaluation sensorielle immédiate (apparence, texture) pre</w:t>
      </w:r>
      <w:r>
        <w:t>nd le pas sur les informations écrites ou normatives. Ce décalage est fréquent entre la finalité de la traçabilité (Regattieri et al., 2007 ; Bosona &amp; Gebresenbet, 2013) et la perception réelle des consommateurs.</w:t>
      </w:r>
    </w:p>
    <w:p w14:paraId="0FCC5102" w14:textId="77777777" w:rsidR="0FCC5102" w:rsidRDefault="00A15298">
      <w:pPr>
        <w:pStyle w:val="NormalWeb"/>
        <w:ind w:firstLine="709"/>
      </w:pPr>
      <w:r>
        <w:t xml:space="preserve">Karim (C6), 40 ans, cadre urbain, souligne </w:t>
      </w:r>
      <w:r>
        <w:t xml:space="preserve">de son côté : « Quand j’achète, je compare le prix en premier, mais si j’ai le choix, je préfère les produits locaux ». Ce comportement met en évidence le paradoxe identifié par Grunert (2011) : l’intention de soutenir une consommation responsable existe, </w:t>
      </w:r>
      <w:r>
        <w:t>mais elle est conditionnée par la valeur perçue (Zeithaml, 1988), c’est-à-dire l’arbitrage constant entre bénéfices (qualité, proximité, durabilité) et coûts (prix, accessibilité).</w:t>
      </w:r>
    </w:p>
    <w:p w14:paraId="5A7C8C07" w14:textId="77777777" w:rsidR="002751A4" w:rsidRDefault="00A15298" w:rsidP="002751A4">
      <w:pPr>
        <w:ind w:firstLine="709"/>
        <w:rPr>
          <w:rFonts w:asciiTheme="majorBidi" w:hAnsiTheme="majorBidi" w:cstheme="majorBidi"/>
          <w:sz w:val="24"/>
          <w:szCs w:val="24"/>
        </w:rPr>
      </w:pPr>
      <w:r>
        <w:rPr>
          <w:rFonts w:asciiTheme="majorBidi" w:hAnsiTheme="majorBidi" w:cstheme="majorBidi"/>
          <w:sz w:val="24"/>
          <w:szCs w:val="24"/>
        </w:rPr>
        <w:t xml:space="preserve">Ces verbatims rejoignent les constats de Verbeke (2005) et de Micheletti &amp; </w:t>
      </w:r>
      <w:r>
        <w:rPr>
          <w:rFonts w:asciiTheme="majorBidi" w:hAnsiTheme="majorBidi" w:cstheme="majorBidi"/>
          <w:sz w:val="24"/>
          <w:szCs w:val="24"/>
        </w:rPr>
        <w:t>Stolle (2007), pour qui la consommation responsable n’est pas un absolu mais un compromis mouvant entre des aspirations éthiques (local, durable, transparent) et des contraintes matérielles (prix, disponibilité, praticité). En d’autres termes, les consomma</w:t>
      </w:r>
      <w:r>
        <w:rPr>
          <w:rFonts w:asciiTheme="majorBidi" w:hAnsiTheme="majorBidi" w:cstheme="majorBidi"/>
          <w:sz w:val="24"/>
          <w:szCs w:val="24"/>
        </w:rPr>
        <w:t xml:space="preserve">teurs tunisiens confirment le </w:t>
      </w:r>
      <w:r>
        <w:rPr>
          <w:rFonts w:asciiTheme="majorBidi" w:hAnsiTheme="majorBidi" w:cstheme="majorBidi"/>
          <w:sz w:val="24"/>
          <w:szCs w:val="24"/>
        </w:rPr>
        <w:lastRenderedPageBreak/>
        <w:t>phénomène du « paradoxe intention–action » (Auger &amp; Devinney, 2007), où la volonté affichée de consommer responsable se heurte aux réalités économiques.</w:t>
      </w:r>
    </w:p>
    <w:p w14:paraId="7714CE5E" w14:textId="77777777" w:rsidR="002751A4" w:rsidRPr="00BB32FA" w:rsidRDefault="00A15298" w:rsidP="002751A4">
      <w:pPr>
        <w:ind w:firstLine="709"/>
        <w:rPr>
          <w:rFonts w:asciiTheme="majorBidi" w:hAnsiTheme="majorBidi" w:cstheme="majorBidi"/>
          <w:sz w:val="24"/>
          <w:szCs w:val="24"/>
        </w:rPr>
      </w:pPr>
      <w:r>
        <w:rPr>
          <w:rFonts w:asciiTheme="majorBidi" w:hAnsiTheme="majorBidi" w:cstheme="majorBidi"/>
          <w:sz w:val="24"/>
          <w:szCs w:val="24"/>
        </w:rPr>
        <w:t xml:space="preserve">Dans ce contexte, les sciences comportementales, et notamment la théorie </w:t>
      </w:r>
      <w:r>
        <w:rPr>
          <w:rFonts w:asciiTheme="majorBidi" w:hAnsiTheme="majorBidi" w:cstheme="majorBidi"/>
          <w:sz w:val="24"/>
          <w:szCs w:val="24"/>
        </w:rPr>
        <w:t>du nudge (Thaler &amp; Sunstein, 2008), apparaissent centrales. En facilitant la comparaison entre produits locaux et importés via des outils de traçabilité simples et intuitifs (QR codes, applications mobiles, Tian, 2017 ; Galvez et al., 2018), il serait poss</w:t>
      </w:r>
      <w:r>
        <w:rPr>
          <w:rFonts w:asciiTheme="majorBidi" w:hAnsiTheme="majorBidi" w:cstheme="majorBidi"/>
          <w:sz w:val="24"/>
          <w:szCs w:val="24"/>
        </w:rPr>
        <w:t>ible de réduire la charge cognitive et de rapprocher comportements effectifs et intentions déclarées. Les propos de Sarah et Karim mettent ainsi en lumière la nécessité non seulement d’informer, mais aussi de « rendre l’option responsable la plus facile et</w:t>
      </w:r>
      <w:r>
        <w:rPr>
          <w:rFonts w:asciiTheme="majorBidi" w:hAnsiTheme="majorBidi" w:cstheme="majorBidi"/>
          <w:sz w:val="24"/>
          <w:szCs w:val="24"/>
        </w:rPr>
        <w:t xml:space="preserve"> accessible », conformément aux recommandations de Lehner et al. (2016).</w:t>
      </w:r>
    </w:p>
    <w:p w14:paraId="743DE694" w14:textId="77777777" w:rsidR="002751A4" w:rsidRPr="001A7CE4" w:rsidRDefault="00A15298" w:rsidP="002751A4">
      <w:pPr>
        <w:rPr>
          <w:rFonts w:asciiTheme="majorBidi" w:hAnsiTheme="majorBidi"/>
          <w:b/>
          <w:bCs/>
          <w:sz w:val="28"/>
          <w:szCs w:val="28"/>
        </w:rPr>
      </w:pPr>
      <w:r>
        <w:rPr>
          <w:rFonts w:asciiTheme="majorBidi" w:hAnsiTheme="majorBidi"/>
          <w:b/>
          <w:bCs/>
          <w:sz w:val="28"/>
          <w:szCs w:val="28"/>
        </w:rPr>
        <w:t>5.2. Perception de la traçabilité</w:t>
      </w:r>
    </w:p>
    <w:p w14:paraId="0BB52000" w14:textId="77777777" w:rsidR="0BB52000" w:rsidRDefault="00A15298">
      <w:pPr>
        <w:pStyle w:val="NormalWeb"/>
        <w:ind w:firstLine="709"/>
      </w:pPr>
      <w:r>
        <w:t>Les entretiens révèlent que la traçabilité est perçue comme un gage de sécurité alimentaire et de transparence, mais demeure encore un concept flou p</w:t>
      </w:r>
      <w:r>
        <w:t>our une partie significative des consommateurs tunisiens interrogés. Cette ambivalence entre reconnaissance de l’importance de la traçabilité et méconnaissance de ses mécanismes constitue l’un des résultats les plus significatifs de l’étude.</w:t>
      </w:r>
    </w:p>
    <w:p w14:paraId="0BB52001" w14:textId="77777777" w:rsidR="0BB52001" w:rsidRDefault="00A15298">
      <w:pPr>
        <w:pStyle w:val="NormalWeb"/>
        <w:ind w:firstLine="709"/>
      </w:pPr>
      <w:r>
        <w:t>Sarah (C1), 28 ans, formule une compréhension détaillée : « La traçabilité signifie pour moi suivre un produit depuis sa production jusqu’à ma consommation. Cela inclut l’identification du producteur, les étapes de transformation, les conditions de transpo</w:t>
      </w:r>
      <w:r>
        <w:t>rt et de stockage ». Cette description correspond aux définitions classiques de Regattieri et al. (2007) et Bosona &amp; Gebresenbet (2013). En revanche, Leila (C3), 32 ans, admet : « Honnêtement, je ne sais pas vraiment ce que ça veut dire, mais si c’est pour</w:t>
      </w:r>
      <w:r>
        <w:t xml:space="preserve"> éviter les produits frauduleux, alors je suis pour ». Ce contraste illustre ce que Moe (1998) et Mancini &amp; Antonioli (2019) ont identifié : l’appropriation par le consommateur dépend fortement de la clarté et de la contextualisation des informations.</w:t>
      </w:r>
    </w:p>
    <w:p w14:paraId="0BB52002" w14:textId="77777777" w:rsidR="0BB52002" w:rsidRDefault="00A15298">
      <w:pPr>
        <w:pStyle w:val="NormalWeb"/>
        <w:ind w:firstLine="709"/>
      </w:pPr>
      <w:r>
        <w:t>Nabi</w:t>
      </w:r>
      <w:r>
        <w:t>l (C14), 48 ans, cadre attentif aux labels, va plus loin : « Je vérifie systématiquement l’origine des produits carnés et laitiers, mais les informations sont souvent insuffisantes ou peu lisibles ». Ce verbatim confirme l’écart entre l’offre informationne</w:t>
      </w:r>
      <w:r>
        <w:t xml:space="preserve">lle actuelle et les attentes des consommateurs les plus exigeants (Fernqvist &amp; Ekelund, 2014). Dans le contexte tunisien, où </w:t>
      </w:r>
      <w:r>
        <w:lastRenderedPageBreak/>
        <w:t>la proximité avec les marchés locaux coexiste avec la grande distribution, la traçabilité devient un enjeu stratégique pour réduire</w:t>
      </w:r>
      <w:r>
        <w:t xml:space="preserve"> la perception du risque et renforcer la confiance dans les produits sensibles (viande, poisson, produits laitiers). Les outils numériques — blockchain et applications mobiles — sont identifiés comme des leviers pour concrétiser cette confiance (Tian, 2017</w:t>
      </w:r>
      <w:r>
        <w:t xml:space="preserve"> ; Galvez et al., 2018 ; Rejeb et al., 2021), à condition de concevoir des interfaces claires, visuelles et intuitives (Klerkx &amp; Rose, 2020).</w:t>
      </w:r>
    </w:p>
    <w:p w14:paraId="5AA6D274" w14:textId="77777777" w:rsidR="00FF7E3C" w:rsidRPr="00E83EC7" w:rsidRDefault="00A15298" w:rsidP="00FF7E3C">
      <w:pPr>
        <w:ind w:firstLine="709"/>
        <w:rPr>
          <w:rFonts w:asciiTheme="majorBidi" w:hAnsiTheme="majorBidi"/>
          <w:b/>
          <w:bCs/>
          <w:sz w:val="28"/>
          <w:szCs w:val="28"/>
        </w:rPr>
      </w:pPr>
      <w:r>
        <w:rPr>
          <w:rFonts w:asciiTheme="majorBidi" w:hAnsiTheme="majorBidi"/>
          <w:b/>
          <w:bCs/>
          <w:sz w:val="28"/>
          <w:szCs w:val="28"/>
        </w:rPr>
        <w:t>5.3. Confiance et durabilité</w:t>
      </w:r>
    </w:p>
    <w:p w14:paraId="0BB53000" w14:textId="77777777" w:rsidR="0BB53000" w:rsidRDefault="00A15298">
      <w:pPr>
        <w:pStyle w:val="NormalWeb"/>
        <w:ind w:firstLine="709"/>
      </w:pPr>
      <w:r>
        <w:t>La confiance constitue le pilier central de l’acceptabilité des systèmes de traçabili</w:t>
      </w:r>
      <w:r>
        <w:t>té numérique. Les entretiens révèlent que cette confiance est à la fois fragile et conditionnelle : elle dépend de la cohérence entre les informations affichées et l’expérience réelle du consommateur, ainsi que de la perception de la durabilité des pratiqu</w:t>
      </w:r>
      <w:r>
        <w:t>es de production.</w:t>
      </w:r>
    </w:p>
    <w:p w14:paraId="0BB53001" w14:textId="77777777" w:rsidR="0BB53001" w:rsidRDefault="00A15298">
      <w:pPr>
        <w:pStyle w:val="NormalWeb"/>
        <w:ind w:firstLine="709"/>
      </w:pPr>
      <w:r>
        <w:t>Amira (C11), 33 ans, cadre urbaine qui vérifie systématiquement les étiquettes, exprime cette méfiance constructive : « Je lis les étiquettes, mais je ne suis jamais sûre que ce qui est écrit correspond à la réalité. Une technologie qui m</w:t>
      </w:r>
      <w:r>
        <w:t>e permettrait de vérifier par moi-même serait rassurante ». Ce verbatim illustre le mécanisme décrit par Garcia &amp; Lee (2021) : la confiance dans les systèmes de traçabilité n’est pas automatique, elle doit être construite par la transparence et la vérifiab</w:t>
      </w:r>
      <w:r>
        <w:t>ilité des données. Lina (C15), 31 ans, consultante sensible aux circuits courts, ajoute : « Pour moi, durabilité et confiance sont liées. Si un produit est vraiment local et respectueux de l’environnement, je veux pouvoir le prouver, pas juste le croire ».</w:t>
      </w:r>
      <w:r>
        <w:t xml:space="preserve"> Cette articulation entre traçabilité, durabilité et confiance rejoint les travaux de Verbeke (2005) et Aschemann-Witzel et al. (2019), qui identifient la transparence comme un moteur de consommation responsable.</w:t>
      </w:r>
    </w:p>
    <w:p w14:paraId="0BB53002" w14:textId="77777777" w:rsidR="0BB53002" w:rsidRDefault="00A15298">
      <w:pPr>
        <w:pStyle w:val="NormalWeb"/>
        <w:ind w:firstLine="709"/>
      </w:pPr>
      <w:r>
        <w:t>Youssef (C4), 50 ans, producteur et consomm</w:t>
      </w:r>
      <w:r>
        <w:t>ateur rural, apporte un regard singulier : « Moi je sais ce que je produis et comment. Mais quand j’achète en ville, je n’ai aucune garantie. La blockchain pourrait rétablir ce lien de confiance ». Ce point de vue souligne l’asymétrie d’information qui car</w:t>
      </w:r>
      <w:r>
        <w:t xml:space="preserve">actérise les chaînes agroalimentaires longues (Roth et al., 2008 ; Charlebois et al., 2014) et le rôle potentiel de la blockchain pour la réduire. La durabilité est perçue comme une dimension complémentaire à la sécurité : les consommateurs associent </w:t>
      </w:r>
      <w:r>
        <w:lastRenderedPageBreak/>
        <w:t>produ</w:t>
      </w:r>
      <w:r>
        <w:t>its traçables et pratiques agricoles responsables, ce qui confère à la traçabilité une dimension éthique au-delà du simple contrôle sanitaire (Koop et al., 2022).</w:t>
      </w:r>
    </w:p>
    <w:p w14:paraId="16F554BF" w14:textId="77777777" w:rsidR="002751A4" w:rsidRPr="0058488F" w:rsidRDefault="00A15298" w:rsidP="002751A4">
      <w:pPr>
        <w:ind w:firstLine="709"/>
        <w:rPr>
          <w:rFonts w:asciiTheme="majorBidi" w:hAnsiTheme="majorBidi"/>
          <w:b/>
          <w:bCs/>
          <w:sz w:val="28"/>
          <w:szCs w:val="28"/>
        </w:rPr>
      </w:pPr>
      <w:r>
        <w:rPr>
          <w:rFonts w:asciiTheme="majorBidi" w:hAnsiTheme="majorBidi"/>
          <w:b/>
          <w:bCs/>
          <w:sz w:val="28"/>
          <w:szCs w:val="28"/>
        </w:rPr>
        <w:t>5.4. Acceptabilité des technologies blockchain et IA</w:t>
      </w:r>
    </w:p>
    <w:p w14:paraId="251628B2" w14:textId="77777777" w:rsidR="00AC3C74" w:rsidRPr="00AC3C74" w:rsidRDefault="00A15298" w:rsidP="00AC3C7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entretiens révèlent un intérêt réel </w:t>
      </w:r>
      <w:r>
        <w:rPr>
          <w:rFonts w:ascii="Times New Roman" w:eastAsia="Times New Roman" w:hAnsi="Times New Roman" w:cs="Times New Roman"/>
          <w:sz w:val="24"/>
          <w:szCs w:val="24"/>
        </w:rPr>
        <w:t xml:space="preserve">mais nuancé pour l’adoption de la blockchain et de l’intelligence artificielle dans la traçabilité alimentaire. Sarah, 28 ans, citadine sensible au bio, exprime son ouverture : </w:t>
      </w:r>
      <w:r>
        <w:rPr>
          <w:rFonts w:ascii="Times New Roman" w:eastAsia="Times New Roman" w:hAnsi="Times New Roman" w:cs="Times New Roman"/>
          <w:i/>
          <w:iCs/>
          <w:sz w:val="24"/>
          <w:szCs w:val="24"/>
        </w:rPr>
        <w:t>« J’ai entendu parler de la blockchain appliquée à l’alimentation, même si je ne comprends pas tous les aspects techniques. Je pense que cela pourrait renforcer la transparence en retraçant toutes les étapes de vie d’un produit, du champ jusqu’à l’assiette</w:t>
      </w:r>
      <w:r>
        <w:rPr>
          <w:rFonts w:ascii="Times New Roman" w:eastAsia="Times New Roman" w:hAnsi="Times New Roman" w:cs="Times New Roman"/>
          <w:i/>
          <w:iCs/>
          <w:sz w:val="24"/>
          <w:szCs w:val="24"/>
        </w:rPr>
        <w:t>. Je serais prête à utiliser une application mobile ou un QR code pour consulter ces informations »</w:t>
      </w:r>
      <w:r>
        <w:rPr>
          <w:rFonts w:ascii="Times New Roman" w:eastAsia="Times New Roman" w:hAnsi="Times New Roman" w:cs="Times New Roman"/>
          <w:sz w:val="24"/>
          <w:szCs w:val="24"/>
        </w:rPr>
        <w:t xml:space="preserve"> (Zeithaml, 1988 ; Wirtz et al., 2019). À l’inverse, Leila, 32 ans, souligne la crainte d’une complexité excessive : </w:t>
      </w:r>
      <w:r>
        <w:rPr>
          <w:rFonts w:ascii="Times New Roman" w:eastAsia="Times New Roman" w:hAnsi="Times New Roman" w:cs="Times New Roman"/>
          <w:i/>
          <w:iCs/>
          <w:sz w:val="24"/>
          <w:szCs w:val="24"/>
        </w:rPr>
        <w:t>« Je serais motivée par la garantie de q</w:t>
      </w:r>
      <w:r>
        <w:rPr>
          <w:rFonts w:ascii="Times New Roman" w:eastAsia="Times New Roman" w:hAnsi="Times New Roman" w:cs="Times New Roman"/>
          <w:i/>
          <w:iCs/>
          <w:sz w:val="24"/>
          <w:szCs w:val="24"/>
        </w:rPr>
        <w:t>ualité et de sécurité. Le frein, ce serait une interface compliquée, trop technique ou qui demande trop de temps à utiliser »</w:t>
      </w:r>
      <w:r>
        <w:rPr>
          <w:rFonts w:ascii="Times New Roman" w:eastAsia="Times New Roman" w:hAnsi="Times New Roman" w:cs="Times New Roman"/>
          <w:sz w:val="24"/>
          <w:szCs w:val="24"/>
        </w:rPr>
        <w:t xml:space="preserve"> (Davis, 1989 ; Marimuthu et al., 2022 ; Lv et al., 2023).</w:t>
      </w:r>
    </w:p>
    <w:p w14:paraId="5E23EF1B" w14:textId="77777777" w:rsidR="00AC3C74" w:rsidRPr="00AC3C74" w:rsidRDefault="00A15298" w:rsidP="00AC3C7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Dans le contexte tunisien, la familiarité limitée avec les technologies </w:t>
      </w:r>
      <w:r>
        <w:rPr>
          <w:rFonts w:ascii="Times New Roman" w:eastAsia="Times New Roman" w:hAnsi="Times New Roman" w:cs="Times New Roman"/>
          <w:sz w:val="24"/>
          <w:szCs w:val="24"/>
        </w:rPr>
        <w:t>numériques et l’importance historique de la confiance dans les circuits locaux influencent ces perceptions (Roth et al., 2008 ; Charlebois et al., 2014). La blockchain est valorisée pour sa capacité à réduire l’incertitude et fournir des informations fiabl</w:t>
      </w:r>
      <w:r>
        <w:rPr>
          <w:rFonts w:ascii="Times New Roman" w:eastAsia="Times New Roman" w:hAnsi="Times New Roman" w:cs="Times New Roman"/>
          <w:sz w:val="24"/>
          <w:szCs w:val="24"/>
        </w:rPr>
        <w:t>es et immuables (Kshetri, 2018 ; Francisco &amp; Swanson, 2018 ; Rejeb et al., 2021), tandis que l’IA permet l’analyse de données massives pour détecter anomalies, fraudes ou défauts de qualité (Kamilaris et al., 2019 ; Li et al., 2021 ; Rejeb et al., 2020).</w:t>
      </w:r>
    </w:p>
    <w:p w14:paraId="2398D2BA" w14:textId="77777777" w:rsidR="00AC3C74" w:rsidRPr="00AC3C74" w:rsidRDefault="00A15298" w:rsidP="00AC3C74">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Pr>
          <w:rFonts w:ascii="Times New Roman" w:eastAsia="Times New Roman" w:hAnsi="Times New Roman" w:cs="Times New Roman"/>
          <w:sz w:val="24"/>
          <w:szCs w:val="24"/>
        </w:rPr>
        <w:t>’adoption reste cependant freinée par la complexité technique, le manque de formation et des interfaces peu intuitives (Behnke &amp; Janssen, 2020 ; Wirtz et al., 2019). Les verbatims confirment que des interfaces simples et visuelles, comme les QR codes ou le</w:t>
      </w:r>
      <w:r>
        <w:rPr>
          <w:rFonts w:ascii="Times New Roman" w:eastAsia="Times New Roman" w:hAnsi="Times New Roman" w:cs="Times New Roman"/>
          <w:sz w:val="24"/>
          <w:szCs w:val="24"/>
        </w:rPr>
        <w:t xml:space="preserve">s applications mobiles ergonomiques, favorisent l’accès rapide à des informations fiables sur l’origine, la qualité et la durabilité des produits (Tian, 2017 ; Galvez et al., 2018). Ainsi, la technologie devient un facilitateur, rapprochant les intentions </w:t>
      </w:r>
      <w:r>
        <w:rPr>
          <w:rFonts w:ascii="Times New Roman" w:eastAsia="Times New Roman" w:hAnsi="Times New Roman" w:cs="Times New Roman"/>
          <w:sz w:val="24"/>
          <w:szCs w:val="24"/>
        </w:rPr>
        <w:t>responsables des comportements effectifs et renforçant la confiance et l’engagement des consommateurs envers une consommation durable (Thaler &amp; Sunstein, 2008 ; Lehner et al., 2016).</w:t>
      </w:r>
    </w:p>
    <w:p w14:paraId="4785E9C5" w14:textId="77777777" w:rsidR="002751A4" w:rsidRPr="0058488F" w:rsidRDefault="00A15298" w:rsidP="002751A4">
      <w:pPr>
        <w:ind w:firstLine="709"/>
        <w:rPr>
          <w:rFonts w:asciiTheme="majorBidi" w:hAnsiTheme="majorBidi"/>
          <w:b/>
          <w:bCs/>
          <w:sz w:val="28"/>
          <w:szCs w:val="28"/>
        </w:rPr>
      </w:pPr>
      <w:r>
        <w:rPr>
          <w:rFonts w:asciiTheme="majorBidi" w:hAnsiTheme="majorBidi"/>
          <w:b/>
          <w:bCs/>
          <w:sz w:val="28"/>
          <w:szCs w:val="28"/>
        </w:rPr>
        <w:lastRenderedPageBreak/>
        <w:t>5.5. Motivations et freins à l’adoption</w:t>
      </w:r>
    </w:p>
    <w:p w14:paraId="1CEE0D48" w14:textId="77777777" w:rsidR="005059E0" w:rsidRPr="005059E0" w:rsidRDefault="00A15298" w:rsidP="005059E0">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entretiens révèlent un </w:t>
      </w:r>
      <w:r>
        <w:rPr>
          <w:rFonts w:ascii="Times New Roman" w:eastAsia="Times New Roman" w:hAnsi="Times New Roman" w:cs="Times New Roman"/>
          <w:sz w:val="24"/>
          <w:szCs w:val="24"/>
        </w:rPr>
        <w:t>équilibre entre motivations et freins à l’adoption de la blockchain et de l’intelligence artificielle pour la traçabilité alimentaire. Les motivations concernent la sécurité, la confiance et la transparence des produits, tandis que les obstacles incluent l</w:t>
      </w:r>
      <w:r>
        <w:rPr>
          <w:rFonts w:ascii="Times New Roman" w:eastAsia="Times New Roman" w:hAnsi="Times New Roman" w:cs="Times New Roman"/>
          <w:sz w:val="24"/>
          <w:szCs w:val="24"/>
        </w:rPr>
        <w:t>a complexité, le temps nécessaire et le coût.</w:t>
      </w:r>
    </w:p>
    <w:p w14:paraId="73805427" w14:textId="77777777" w:rsidR="005059E0" w:rsidRPr="005059E0" w:rsidRDefault="00A15298" w:rsidP="005059E0">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Fatma, 35 ans, illustre cette tension : </w:t>
      </w:r>
      <w:r>
        <w:rPr>
          <w:rFonts w:ascii="Times New Roman" w:eastAsia="Times New Roman" w:hAnsi="Times New Roman" w:cs="Times New Roman"/>
          <w:i/>
          <w:iCs/>
          <w:sz w:val="24"/>
          <w:szCs w:val="24"/>
        </w:rPr>
        <w:t xml:space="preserve">« Je serais motivée par la garantie de qualité et de sécurité, mais mon frein serait une application trop compliquée ou avec des informations difficiles à comprendre. Je </w:t>
      </w:r>
      <w:r>
        <w:rPr>
          <w:rFonts w:ascii="Times New Roman" w:eastAsia="Times New Roman" w:hAnsi="Times New Roman" w:cs="Times New Roman"/>
          <w:i/>
          <w:iCs/>
          <w:sz w:val="24"/>
          <w:szCs w:val="24"/>
        </w:rPr>
        <w:t>préfère un outil simple et pratique »</w:t>
      </w:r>
      <w:r>
        <w:rPr>
          <w:rFonts w:ascii="Times New Roman" w:eastAsia="Times New Roman" w:hAnsi="Times New Roman" w:cs="Times New Roman"/>
          <w:sz w:val="24"/>
          <w:szCs w:val="24"/>
        </w:rPr>
        <w:t xml:space="preserve">, soulignant l’importance de la facilité d’usage perçue (Davis, 1989 ; Marimuthu et al., 2022 ; Wirtz et al., 2019). Ahmed, 45 ans, met l’accent sur l’aspect économique : </w:t>
      </w:r>
      <w:r>
        <w:rPr>
          <w:rFonts w:ascii="Times New Roman" w:eastAsia="Times New Roman" w:hAnsi="Times New Roman" w:cs="Times New Roman"/>
          <w:i/>
          <w:iCs/>
          <w:sz w:val="24"/>
          <w:szCs w:val="24"/>
        </w:rPr>
        <w:t>« Le problème, c’est que ces systèmes coûtent ch</w:t>
      </w:r>
      <w:r>
        <w:rPr>
          <w:rFonts w:ascii="Times New Roman" w:eastAsia="Times New Roman" w:hAnsi="Times New Roman" w:cs="Times New Roman"/>
          <w:i/>
          <w:iCs/>
          <w:sz w:val="24"/>
          <w:szCs w:val="24"/>
        </w:rPr>
        <w:t>er et au final, c’est toujours le consommateur qui paie »</w:t>
      </w:r>
      <w:r>
        <w:rPr>
          <w:rFonts w:ascii="Times New Roman" w:eastAsia="Times New Roman" w:hAnsi="Times New Roman" w:cs="Times New Roman"/>
          <w:sz w:val="24"/>
          <w:szCs w:val="24"/>
        </w:rPr>
        <w:t>, illustrant le rôle de la valeur perçue dans l’adoption (Zeithaml, 1988 ; Behnke &amp; Janssen, 2020 ; Lv et al., 2023). Enfin, Leila, 32 ans, souligne le potentiel de ces outils pour soutenir des prati</w:t>
      </w:r>
      <w:r>
        <w:rPr>
          <w:rFonts w:ascii="Times New Roman" w:eastAsia="Times New Roman" w:hAnsi="Times New Roman" w:cs="Times New Roman"/>
          <w:sz w:val="24"/>
          <w:szCs w:val="24"/>
        </w:rPr>
        <w:t xml:space="preserve">ques responsables : </w:t>
      </w:r>
      <w:r>
        <w:rPr>
          <w:rFonts w:ascii="Times New Roman" w:eastAsia="Times New Roman" w:hAnsi="Times New Roman" w:cs="Times New Roman"/>
          <w:i/>
          <w:iCs/>
          <w:sz w:val="24"/>
          <w:szCs w:val="24"/>
        </w:rPr>
        <w:t>« Je pense que la blockchain pourrait me permettre de vérifier toutes ces informations facilement via mon smartphone. C’est une idée rassurante, pratique et adaptée à ma façon de consommer »</w:t>
      </w:r>
      <w:r>
        <w:rPr>
          <w:rFonts w:ascii="Times New Roman" w:eastAsia="Times New Roman" w:hAnsi="Times New Roman" w:cs="Times New Roman"/>
          <w:sz w:val="24"/>
          <w:szCs w:val="24"/>
        </w:rPr>
        <w:t xml:space="preserve"> (Verbeke, 2005 ; Koop et al., 2022).</w:t>
      </w:r>
    </w:p>
    <w:p w14:paraId="531204FD" w14:textId="0EAF87E9" w:rsidR="005059E0" w:rsidRPr="005059E0" w:rsidRDefault="00A15298" w:rsidP="003D1197">
      <w:pPr>
        <w:spacing w:before="100" w:beforeAutospacing="1" w:after="100" w:afterAutospacing="1"/>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La litté</w:t>
      </w:r>
      <w:r>
        <w:rPr>
          <w:rFonts w:ascii="Times New Roman" w:eastAsia="Times New Roman" w:hAnsi="Times New Roman" w:cs="Times New Roman"/>
          <w:sz w:val="24"/>
          <w:szCs w:val="24"/>
        </w:rPr>
        <w:t>rature confirme que l’adoption dépend de l’utilité perçue, de la facilité d’usage et de la valeur perçue, ainsi que d’incitations comportementales adaptées (TAM et théorie du nudge) (Davis, 1989 ; Thaler &amp; Sunstein, 2008 ; Lehner et al., 2016). Des interfa</w:t>
      </w:r>
      <w:r>
        <w:rPr>
          <w:rFonts w:ascii="Times New Roman" w:eastAsia="Times New Roman" w:hAnsi="Times New Roman" w:cs="Times New Roman"/>
          <w:sz w:val="24"/>
          <w:szCs w:val="24"/>
        </w:rPr>
        <w:t>ces intuitives, QR codes clairs et informations vérifiables réduisent la charge cognitive et renforcent l’intention d’usage (Tian, 2017 ; Galvez et al., 2018 ; Rejeb et al., 2020). L’adoption réussie repose donc sur la combinaison simultanée de sécurité, t</w:t>
      </w:r>
      <w:r>
        <w:rPr>
          <w:rFonts w:ascii="Times New Roman" w:eastAsia="Times New Roman" w:hAnsi="Times New Roman" w:cs="Times New Roman"/>
          <w:sz w:val="24"/>
          <w:szCs w:val="24"/>
        </w:rPr>
        <w:t>ransparence, simplicité et valeur perçue, favorisant la confiance et rapprochant les comportements effectifs des intentions responsables (Marimuthu et al., 2022 ; Lv et al., 2023 ; Koop et al., 2022).</w:t>
      </w:r>
    </w:p>
    <w:p w14:paraId="3314A217" w14:textId="77777777" w:rsidR="002751A4" w:rsidRPr="003D1197" w:rsidRDefault="00A15298" w:rsidP="002751A4">
      <w:pPr>
        <w:rPr>
          <w:b/>
          <w:bCs/>
        </w:rPr>
      </w:pPr>
      <w:r w:rsidRPr="003D1197">
        <w:rPr>
          <w:rFonts w:asciiTheme="majorBidi" w:hAnsiTheme="majorBidi"/>
          <w:b/>
          <w:bCs/>
          <w:sz w:val="28"/>
          <w:szCs w:val="28"/>
        </w:rPr>
        <w:t xml:space="preserve"> 5.6. Analyse des thèmes récurrents et nuage de mots</w:t>
      </w:r>
    </w:p>
    <w:p w14:paraId="1A32E228" w14:textId="77777777" w:rsidR="008037FE" w:rsidRDefault="00A15298" w:rsidP="008037FE">
      <w:pPr>
        <w:pStyle w:val="NormalWeb"/>
        <w:ind w:firstLine="709"/>
      </w:pPr>
      <w:r>
        <w:t>A</w:t>
      </w:r>
      <w:r>
        <w:t xml:space="preserve">fin de compléter l’analyse qualitative, une exploration des thèmes récurrents et des mots clés issus des entretiens a été réalisée. Cette démarche permet de visualiser de manière </w:t>
      </w:r>
      <w:r>
        <w:lastRenderedPageBreak/>
        <w:t>synthétique les concepts et préoccupations les plus fréquemment évoqués par l</w:t>
      </w:r>
      <w:r>
        <w:t>es participants, en lien avec la traçabilité durable, la blockchain et l’IA dans l’agroalimentaire.</w:t>
      </w:r>
    </w:p>
    <w:p w14:paraId="184E578A" w14:textId="7EFDB136" w:rsidR="0010312B" w:rsidRDefault="00A15298" w:rsidP="003D1197">
      <w:pPr>
        <w:pStyle w:val="NormalWeb"/>
        <w:ind w:firstLine="709"/>
      </w:pPr>
      <w:r>
        <w:t>L’analyse du nuage de mots (figure 1) met en évidence les attentes clés des consommateurs face aux technologies émergentes dans l’alimentaire. Les termes do</w:t>
      </w:r>
      <w:r>
        <w:t xml:space="preserve">minants, tels que </w:t>
      </w:r>
      <w:r>
        <w:rPr>
          <w:i/>
          <w:iCs/>
        </w:rPr>
        <w:t>traçabilité</w:t>
      </w:r>
      <w:r>
        <w:t xml:space="preserve"> et </w:t>
      </w:r>
      <w:r>
        <w:rPr>
          <w:i/>
          <w:iCs/>
        </w:rPr>
        <w:t>sécurité alimentaire</w:t>
      </w:r>
      <w:r>
        <w:t>, traduisent une demande forte de transparence et de fiabilité. Cette exigence s’accompagne de préoccupations liées à la durabilité et aux pratiques responsables (</w:t>
      </w:r>
      <w:r>
        <w:rPr>
          <w:i/>
          <w:iCs/>
        </w:rPr>
        <w:t>produits bio</w:t>
      </w:r>
      <w:r>
        <w:t xml:space="preserve">, </w:t>
      </w:r>
      <w:r>
        <w:rPr>
          <w:i/>
          <w:iCs/>
        </w:rPr>
        <w:t>produits locaux</w:t>
      </w:r>
      <w:r>
        <w:t xml:space="preserve">, </w:t>
      </w:r>
      <w:r>
        <w:rPr>
          <w:i/>
          <w:iCs/>
        </w:rPr>
        <w:t>achats responsables</w:t>
      </w:r>
      <w:r>
        <w:t xml:space="preserve">). La présence de </w:t>
      </w:r>
      <w:r>
        <w:rPr>
          <w:i/>
          <w:iCs/>
        </w:rPr>
        <w:t>IA</w:t>
      </w:r>
      <w:r>
        <w:t xml:space="preserve"> et </w:t>
      </w:r>
      <w:r>
        <w:rPr>
          <w:i/>
          <w:iCs/>
        </w:rPr>
        <w:t>blockchain</w:t>
      </w:r>
      <w:r>
        <w:t xml:space="preserve"> révèle une ouverture envers ces technologies, à condition qu’elles renforcent la confiance et la transparence. Enfin, les expressions </w:t>
      </w:r>
      <w:r>
        <w:rPr>
          <w:i/>
          <w:iCs/>
        </w:rPr>
        <w:t>outil simple</w:t>
      </w:r>
      <w:r>
        <w:t xml:space="preserve"> et </w:t>
      </w:r>
      <w:r>
        <w:rPr>
          <w:i/>
          <w:iCs/>
        </w:rPr>
        <w:t>informations vérifiables</w:t>
      </w:r>
      <w:r>
        <w:t xml:space="preserve"> soulignent que leur adoptio</w:t>
      </w:r>
      <w:r>
        <w:t>n dépendra surtout de l’accessibilité et de la facilité d’usage.</w:t>
      </w:r>
    </w:p>
    <w:p w14:paraId="3D556576" w14:textId="77777777" w:rsidR="002232D8" w:rsidRDefault="00A15298" w:rsidP="002232D8">
      <w:pPr>
        <w:ind w:firstLine="709"/>
        <w:jc w:val="center"/>
        <w:rPr>
          <w:b/>
          <w:bCs/>
        </w:rPr>
      </w:pPr>
      <w:r>
        <w:rPr>
          <w:b/>
          <w:bCs/>
        </w:rPr>
        <w:t>Figure 1 : nuage des mots</w:t>
      </w:r>
    </w:p>
    <w:p w14:paraId="3699977D" w14:textId="038474B8" w:rsidR="002232D8" w:rsidRPr="008037FE" w:rsidRDefault="00A15298" w:rsidP="002232D8">
      <w:pPr>
        <w:pStyle w:val="NormalWeb"/>
        <w:ind w:firstLine="709"/>
        <w:jc w:val="center"/>
      </w:pPr>
      <w:r>
        <w:rPr>
          <w:noProof/>
        </w:rPr>
        <w:drawing>
          <wp:inline distT="0" distB="0" distL="0" distR="0" wp14:anchorId="29F5C821" wp14:editId="550B5315">
            <wp:extent cx="4229100" cy="1546460"/>
            <wp:effectExtent l="76200" t="76200" r="133350" b="1301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580" t="29948" b="28808"/>
                    <a:stretch/>
                  </pic:blipFill>
                  <pic:spPr bwMode="auto">
                    <a:xfrm>
                      <a:off x="0" y="0"/>
                      <a:ext cx="4241846" cy="155112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0CEACB5" w14:textId="4D188742" w:rsidR="003D1197" w:rsidRDefault="003D1197" w:rsidP="003D1197">
      <w:pPr>
        <w:jc w:val="right"/>
        <w:rPr>
          <w:rFonts w:asciiTheme="majorBidi" w:hAnsiTheme="majorBidi" w:cstheme="majorBidi"/>
          <w:b/>
          <w:bCs/>
          <w:sz w:val="24"/>
          <w:szCs w:val="24"/>
        </w:rPr>
      </w:pPr>
      <w:r w:rsidRPr="003D1197">
        <w:rPr>
          <w:rFonts w:asciiTheme="majorBidi" w:hAnsiTheme="majorBidi" w:cstheme="majorBidi"/>
          <w:b/>
          <w:bCs/>
          <w:sz w:val="24"/>
          <w:szCs w:val="24"/>
        </w:rPr>
        <w:t xml:space="preserve">Source : Élaborée par les auteurs à partir des données d'entretiens, </w:t>
      </w:r>
      <w:proofErr w:type="spellStart"/>
      <w:r w:rsidRPr="003D1197">
        <w:rPr>
          <w:rFonts w:asciiTheme="majorBidi" w:hAnsiTheme="majorBidi" w:cstheme="majorBidi"/>
          <w:b/>
          <w:bCs/>
          <w:sz w:val="24"/>
          <w:szCs w:val="24"/>
        </w:rPr>
        <w:t>Atlas.ti</w:t>
      </w:r>
      <w:proofErr w:type="spellEnd"/>
      <w:r w:rsidRPr="003D1197">
        <w:rPr>
          <w:rFonts w:asciiTheme="majorBidi" w:hAnsiTheme="majorBidi" w:cstheme="majorBidi"/>
          <w:b/>
          <w:bCs/>
          <w:sz w:val="24"/>
          <w:szCs w:val="24"/>
        </w:rPr>
        <w:t xml:space="preserve"> (2024)</w:t>
      </w:r>
      <w:r w:rsidRPr="003D1197">
        <w:rPr>
          <w:rFonts w:asciiTheme="majorBidi" w:hAnsiTheme="majorBidi" w:cstheme="majorBidi"/>
          <w:b/>
          <w:bCs/>
          <w:sz w:val="24"/>
          <w:szCs w:val="24"/>
        </w:rPr>
        <w:t xml:space="preserve"> </w:t>
      </w:r>
    </w:p>
    <w:p w14:paraId="4109C78B" w14:textId="77777777" w:rsidR="003D1197" w:rsidRPr="003D1197" w:rsidRDefault="003D1197" w:rsidP="003D1197">
      <w:pPr>
        <w:jc w:val="right"/>
        <w:rPr>
          <w:rFonts w:asciiTheme="majorBidi" w:hAnsiTheme="majorBidi" w:cstheme="majorBidi"/>
          <w:b/>
          <w:bCs/>
          <w:sz w:val="24"/>
          <w:szCs w:val="24"/>
        </w:rPr>
      </w:pPr>
    </w:p>
    <w:p w14:paraId="48AA8C9C" w14:textId="43C48939" w:rsidR="002751A4" w:rsidRPr="00036C5D" w:rsidRDefault="00A15298" w:rsidP="003D1197">
      <w:pPr>
        <w:rPr>
          <w:rFonts w:asciiTheme="majorBidi" w:hAnsiTheme="majorBidi"/>
          <w:b/>
          <w:bCs/>
          <w:sz w:val="28"/>
          <w:szCs w:val="28"/>
        </w:rPr>
      </w:pPr>
      <w:r>
        <w:rPr>
          <w:rFonts w:asciiTheme="majorBidi" w:hAnsiTheme="majorBidi"/>
          <w:b/>
          <w:bCs/>
          <w:sz w:val="28"/>
          <w:szCs w:val="28"/>
        </w:rPr>
        <w:t>6. Discussion</w:t>
      </w:r>
    </w:p>
    <w:p w14:paraId="51E1184F" w14:textId="77777777" w:rsidR="002751A4" w:rsidRPr="00036C5D" w:rsidRDefault="00A15298" w:rsidP="00AC3C74">
      <w:pPr>
        <w:pStyle w:val="NormalWeb"/>
        <w:ind w:firstLine="709"/>
        <w:rPr>
          <w:rFonts w:asciiTheme="majorBidi" w:hAnsiTheme="majorBidi" w:cstheme="majorBidi"/>
        </w:rPr>
      </w:pPr>
      <w:r>
        <w:rPr>
          <w:rFonts w:asciiTheme="majorBidi" w:hAnsiTheme="majorBidi" w:cstheme="majorBidi"/>
        </w:rPr>
        <w:t>Les résultats de cette étude confirment que la traçabilité constitue une attente centrale des consommateurs tunisiens, perçue comme un outil de sécu</w:t>
      </w:r>
      <w:r>
        <w:rPr>
          <w:rFonts w:asciiTheme="majorBidi" w:hAnsiTheme="majorBidi" w:cstheme="majorBidi"/>
        </w:rPr>
        <w:t>rité alimentaire et de transparence. Cette observation rejoint les travaux de Regattieri et al. (2007) et de Bosona &amp; Gebresenbet (2013), qui soulignent l’importance de la traçabilité comme pilier de confiance et de gestion des risques. Toutefois, les entr</w:t>
      </w:r>
      <w:r>
        <w:rPr>
          <w:rFonts w:asciiTheme="majorBidi" w:hAnsiTheme="majorBidi" w:cstheme="majorBidi"/>
        </w:rPr>
        <w:t xml:space="preserve">etiens mettent également en évidence une compréhension encore limitée du concept, ce qui confirme les constats de Moe (1998) et Mancini &amp; Antonioli (2019) </w:t>
      </w:r>
      <w:r>
        <w:rPr>
          <w:rFonts w:asciiTheme="majorBidi" w:hAnsiTheme="majorBidi" w:cstheme="majorBidi"/>
        </w:rPr>
        <w:lastRenderedPageBreak/>
        <w:t>selon lesquels l’appropriation de la traçabilité par le consommateur dépend fortement de la lisibilit</w:t>
      </w:r>
      <w:r>
        <w:rPr>
          <w:rFonts w:asciiTheme="majorBidi" w:hAnsiTheme="majorBidi" w:cstheme="majorBidi"/>
        </w:rPr>
        <w:t>é et de la contextualisation des informations.</w:t>
      </w:r>
    </w:p>
    <w:p w14:paraId="436E6E28" w14:textId="77777777" w:rsidR="002751A4" w:rsidRPr="00036C5D" w:rsidRDefault="00A15298" w:rsidP="00AC3C74">
      <w:pPr>
        <w:pStyle w:val="NormalWeb"/>
        <w:ind w:firstLine="709"/>
        <w:rPr>
          <w:rFonts w:asciiTheme="majorBidi" w:hAnsiTheme="majorBidi" w:cstheme="majorBidi"/>
        </w:rPr>
      </w:pPr>
      <w:r>
        <w:rPr>
          <w:rFonts w:asciiTheme="majorBidi" w:hAnsiTheme="majorBidi" w:cstheme="majorBidi"/>
        </w:rPr>
        <w:t>Par ailleurs, la confiance et la durabilité apparaissent comme des leviers essentiels dans le processus d’acceptation. Les consommateurs interrogés associent la traçabilité non seulement à une garantie de sécu</w:t>
      </w:r>
      <w:r>
        <w:rPr>
          <w:rFonts w:asciiTheme="majorBidi" w:hAnsiTheme="majorBidi" w:cstheme="majorBidi"/>
        </w:rPr>
        <w:t>rité alimentaire, mais aussi à des choix alignés sur leurs valeurs éthiques, telles que l’achat de produits locaux ou biologiques. Ces résultats corroborent les travaux de Verbeke (2005) et Aschemann-Witzel et al. (2019), qui identifient la transparence co</w:t>
      </w:r>
      <w:r>
        <w:rPr>
          <w:rFonts w:asciiTheme="majorBidi" w:hAnsiTheme="majorBidi" w:cstheme="majorBidi"/>
        </w:rPr>
        <w:t>mme un moteur de consommation responsable. Toutefois, le paradoxe intention–action, largement décrit dans la littérature (Auger &amp; Devinney, 2007 ; Grunert, 2011), est confirmé dans le contexte tunisien : bien que les consommateurs déclarent valoriser la du</w:t>
      </w:r>
      <w:r>
        <w:rPr>
          <w:rFonts w:asciiTheme="majorBidi" w:hAnsiTheme="majorBidi" w:cstheme="majorBidi"/>
        </w:rPr>
        <w:t>rabilité, leurs comportements effectifs restent contraints par des considérations de prix et d’accessibilité.</w:t>
      </w:r>
    </w:p>
    <w:p w14:paraId="7E84DE1A" w14:textId="77777777" w:rsidR="002751A4" w:rsidRPr="00036C5D" w:rsidRDefault="00A15298" w:rsidP="00AC3C74">
      <w:pPr>
        <w:pStyle w:val="NormalWeb"/>
        <w:ind w:firstLine="709"/>
        <w:rPr>
          <w:rFonts w:asciiTheme="majorBidi" w:hAnsiTheme="majorBidi" w:cstheme="majorBidi"/>
        </w:rPr>
      </w:pPr>
      <w:r>
        <w:rPr>
          <w:rFonts w:asciiTheme="majorBidi" w:hAnsiTheme="majorBidi" w:cstheme="majorBidi"/>
        </w:rPr>
        <w:t>Concernant l’acceptabilité des technologies blockchain et IA, les résultats confirment la pertinence du Technology Acceptance Model (Davis, 1989).</w:t>
      </w:r>
      <w:r>
        <w:rPr>
          <w:rFonts w:asciiTheme="majorBidi" w:hAnsiTheme="majorBidi" w:cstheme="majorBidi"/>
        </w:rPr>
        <w:t xml:space="preserve"> L’utilité perçue de ces technologies repose sur leur capacité à fournir des informations fiables et transparentes, en cohérence avec les travaux de Marimuthu et al. (2022), tandis que la facilité d’usage perçue reste un facteur décisif, comme l’ont soulig</w:t>
      </w:r>
      <w:r>
        <w:rPr>
          <w:rFonts w:asciiTheme="majorBidi" w:hAnsiTheme="majorBidi" w:cstheme="majorBidi"/>
        </w:rPr>
        <w:t>né Wirtz et al. (2019). Ces constats renforcent l’idée que l’acceptabilité des solutions numériques dépend autant de leur valeur ajoutée que de leur ergonomie. Les résultats rejoignent également les apports de la théorie du nudge (Thaler &amp; Sunstein, 2008),</w:t>
      </w:r>
      <w:r>
        <w:rPr>
          <w:rFonts w:asciiTheme="majorBidi" w:hAnsiTheme="majorBidi" w:cstheme="majorBidi"/>
        </w:rPr>
        <w:t xml:space="preserve"> en montrant que des interfaces simples, comme les QR codes ou les applications mobiles intuitives, peuvent réduire la charge cognitive et rapprocher les intentions déclarées des comportements réels (Lehner et al., 2016).</w:t>
      </w:r>
    </w:p>
    <w:p w14:paraId="4A498906" w14:textId="77777777" w:rsidR="002751A4" w:rsidRPr="00036C5D" w:rsidRDefault="00A15298" w:rsidP="00AC3C74">
      <w:pPr>
        <w:pStyle w:val="NormalWeb"/>
        <w:ind w:firstLine="709"/>
        <w:rPr>
          <w:rFonts w:asciiTheme="majorBidi" w:hAnsiTheme="majorBidi" w:cstheme="majorBidi"/>
        </w:rPr>
      </w:pPr>
      <w:r>
        <w:rPr>
          <w:rFonts w:asciiTheme="majorBidi" w:hAnsiTheme="majorBidi" w:cstheme="majorBidi"/>
        </w:rPr>
        <w:t>Enfin, les entretiens mettent en l</w:t>
      </w:r>
      <w:r>
        <w:rPr>
          <w:rFonts w:asciiTheme="majorBidi" w:hAnsiTheme="majorBidi" w:cstheme="majorBidi"/>
        </w:rPr>
        <w:t xml:space="preserve">umière l’importance de la valeur perçue, définie par Zeithaml (1988), qui résulte de l’arbitrage entre bénéfices (sécurité, transparence, durabilité) et coûts (prix, effort cognitif, temps d’utilisation). Dans un contexte marqué par une sensibilité accrue </w:t>
      </w:r>
      <w:r>
        <w:rPr>
          <w:rFonts w:asciiTheme="majorBidi" w:hAnsiTheme="majorBidi" w:cstheme="majorBidi"/>
        </w:rPr>
        <w:t>au pouvoir d’achat, cette dimension devient déterminante et rejoint les constats de Lv et al. (2023) sur les freins à l’adoption des technologies de traçabilité.</w:t>
      </w:r>
    </w:p>
    <w:p w14:paraId="0FCC6001" w14:textId="77777777" w:rsidR="0FCC6001" w:rsidRDefault="00A15298">
      <w:pPr>
        <w:pStyle w:val="NormalWeb"/>
        <w:ind w:firstLine="709"/>
      </w:pPr>
      <w:r>
        <w:t>Ces résultats confirment les cinq hypothèses de recherche formulées dans le cadre théorique. L</w:t>
      </w:r>
      <w:r>
        <w:t xml:space="preserve">’utilité perçue (H1), la facilité d’usage (H2), la valeur perçue (H3), la confiance (H4) et les nudges numériques (H5) constituent des leviers complémentaires et interdépendants </w:t>
      </w:r>
      <w:r>
        <w:lastRenderedPageBreak/>
        <w:t xml:space="preserve">pour favoriser l’adoption de la blockchain et de l’IA. Ces résultats plaident </w:t>
      </w:r>
      <w:r>
        <w:t>pour une approche intégrée combinant performance technique, design centré utilisateur et communication pédagogique afin de réduire les barrières à l’adoption et de maximiser la valeur perçue par les consommateurs.</w:t>
      </w:r>
    </w:p>
    <w:p w14:paraId="3E7065F7" w14:textId="77777777" w:rsidR="002751A4" w:rsidRPr="00244752" w:rsidRDefault="00A15298" w:rsidP="002751A4">
      <w:pPr>
        <w:rPr>
          <w:rFonts w:asciiTheme="majorBidi" w:hAnsiTheme="majorBidi"/>
          <w:b/>
          <w:bCs/>
          <w:sz w:val="28"/>
          <w:szCs w:val="28"/>
        </w:rPr>
      </w:pPr>
      <w:r>
        <w:rPr>
          <w:rFonts w:asciiTheme="majorBidi" w:hAnsiTheme="majorBidi"/>
          <w:b/>
          <w:bCs/>
          <w:sz w:val="28"/>
          <w:szCs w:val="28"/>
        </w:rPr>
        <w:t>7. Conclusion, limites et perspectives fut</w:t>
      </w:r>
      <w:r>
        <w:rPr>
          <w:rFonts w:asciiTheme="majorBidi" w:hAnsiTheme="majorBidi"/>
          <w:b/>
          <w:bCs/>
          <w:sz w:val="28"/>
          <w:szCs w:val="28"/>
        </w:rPr>
        <w:t>ures</w:t>
      </w:r>
    </w:p>
    <w:p w14:paraId="0FCC7000" w14:textId="77777777" w:rsidR="0FCC7000" w:rsidRDefault="00A15298">
      <w:pPr>
        <w:pStyle w:val="NormalWeb"/>
        <w:ind w:firstLine="709"/>
      </w:pPr>
      <w:r>
        <w:t>Cette recherche exploratoire avait pour objectif d’examiner les perceptions des consommateurs tunisiens vis-à-vis de la traçabilité agroalimentaire et de l’adoption combinée de la blockchain et de l’intelligence artificielle. Les résultats, issus de l</w:t>
      </w:r>
      <w:r>
        <w:t>’analyse thématique de 15 entretiens semi-structurés, mettent en évidence trois dimensions fondamentales : la demande de sécurité et de transparence, la sensibilité à la durabilité et aux pratiques responsables, et l’importance cruciale de la simplicité d’</w:t>
      </w:r>
      <w:r>
        <w:t>usage des outils numériques.</w:t>
      </w:r>
    </w:p>
    <w:p w14:paraId="0FCC7001" w14:textId="77777777" w:rsidR="0FCC7001" w:rsidRDefault="00A15298">
      <w:pPr>
        <w:pStyle w:val="NormalWeb"/>
        <w:ind w:firstLine="709"/>
      </w:pPr>
      <w:r>
        <w:t>Sur le plan théorique, cette étude apporte plusieurs contributions. Elle enrichit la littérature sur l’acceptabilité technologique en confirmant la pertinence du modèle TAM (Davis, 1989) dans un contexte agroalimentaire émergent, tout en soulignant l’intér</w:t>
      </w:r>
      <w:r>
        <w:t xml:space="preserve">êt d’articuler ce modèle avec la théorie du Nudge (Thaler &amp; Sunstein, 2008) et la notion de valeur perçue (Zeithaml, 1988). Elle comble également un vide dans la littérature sur l’adoption des technologies de traçabilité dans les pays en développement, et </w:t>
      </w:r>
      <w:r>
        <w:t>plus spécifiquement en Tunisie, où ce phénomène reste peu étudié empiriquement (Salah et al., 2019 ; Lv et al., 2023). Enfin, elle démontre l’apport d’une approche qualitative pour explorer les mécanismes psychologiques et comportementaux sous-jacents à l’</w:t>
      </w:r>
      <w:r>
        <w:t>adoption de ces technologies, en complément des approches quantitatives dominantes dans la littérature.</w:t>
      </w:r>
    </w:p>
    <w:p w14:paraId="0FCC7002" w14:textId="77777777" w:rsidR="0FCC7002" w:rsidRDefault="00A15298">
      <w:pPr>
        <w:pStyle w:val="NormalWeb"/>
        <w:ind w:firstLine="709"/>
      </w:pPr>
      <w:r>
        <w:t xml:space="preserve">Sur le plan managérial, les résultats offrent des recommandations concrètes aux entreprises agroalimentaires, aux décideurs publics et aux développeurs </w:t>
      </w:r>
      <w:r>
        <w:t>de solutions technologiques. En premier lieu, la conception d’interfaces simples, visuelles et intuitives — telles que les QR codes ou les applications mobiles ergonomiques — apparaît comme un facteur déterminant pour réduire la charge cognitive et rapproc</w:t>
      </w:r>
      <w:r>
        <w:t>her les comportements effectifs des intentions déclarées. En second lieu, une stratégie de communication pédagogique sur les mécanismes de la blockchain est nécessaire pour réduire la méfiance liée à la complexité perçue. Enfin, les entreprises gagneraient</w:t>
      </w:r>
      <w:r>
        <w:t xml:space="preserve"> à valoriser explicitement les bénéfices en termes de </w:t>
      </w:r>
      <w:r>
        <w:lastRenderedPageBreak/>
        <w:t>durabilité et de traçabilité éthique, en lien avec les attentes croissantes des consommateurs pour des pratiques agricoles responsables (Verbeke, 2005 ; Koop et al., 2022).</w:t>
      </w:r>
    </w:p>
    <w:p w14:paraId="0FCC7003" w14:textId="77777777" w:rsidR="0FCC7003" w:rsidRDefault="00A15298">
      <w:pPr>
        <w:pStyle w:val="NormalWeb"/>
        <w:ind w:firstLine="709"/>
      </w:pPr>
      <w:r>
        <w:t xml:space="preserve">Cette recherche présente néanmoins plusieurs limites qu’il convient de souligner. Premièrement, l’échantillon de 15 participants, bien que pertinent pour une étude exploratoire qualitative, ne permet pas de généralisation statistique. La surreprésentation </w:t>
      </w:r>
      <w:r>
        <w:t>des profils urbains et diplômés constitue un biais potentiel qui limite la représentativité des résultats à l’ensemble de la population tunisienne. Deuxièmement, le recueil de données par entretiens repose sur des discours déclarés qui peuvent s’écarter de</w:t>
      </w:r>
      <w:r>
        <w:t>s comportements réels, comme le souligne le paradoxe intention-action (Auger &amp; Devinney, 2007). Troisièmement, la rapidité d’évolution des technologies blockchain et IA implique que certaines perceptions pourraient évoluer significativement avec une plus g</w:t>
      </w:r>
      <w:r>
        <w:t>rande exposition aux outils.</w:t>
      </w:r>
    </w:p>
    <w:p w14:paraId="0FCC7004" w14:textId="65844DF7" w:rsidR="0FCC7004" w:rsidRDefault="00A15298">
      <w:pPr>
        <w:pStyle w:val="NormalWeb"/>
        <w:ind w:firstLine="709"/>
      </w:pPr>
      <w:r>
        <w:t>Ces limites ouvrent des perspectives de recherche nombreuses et prometteuses. Une étude quantitative à grande échelle, fondée sur les hypothèses H1 à H5 formulées dans ce travail, permettrait de tester et de généraliser les rés</w:t>
      </w:r>
      <w:r>
        <w:t>ultats obtenus. Des études comparatives entre contextes nationaux (Tunisie, Maroc, Égypte) apporteraient un éclairage sur les spécificités culturelles de l’adoption. Des expérimentations en conditions réelles — par exemple, des prototypes d’applications mo</w:t>
      </w:r>
      <w:r>
        <w:t xml:space="preserve">biles de traçabilité testés auprès de consommateurs — permettraient de mesurer l’impact effectif des nudges numériques sur les comportements d’achat responsable. Enfin, l’intégration des producteurs et distributeurs comme parties prenantes à part entière, </w:t>
      </w:r>
      <w:r>
        <w:t>et non uniquement les consommateurs, permettrait une vision systémique de l’écosystème de traçabilité agroalimentaire.</w:t>
      </w:r>
    </w:p>
    <w:p w14:paraId="1FAFE58F" w14:textId="3A0656D9" w:rsidR="003D1197" w:rsidRDefault="003D1197">
      <w:pPr>
        <w:pStyle w:val="NormalWeb"/>
        <w:ind w:firstLine="709"/>
      </w:pPr>
    </w:p>
    <w:p w14:paraId="203E89A4" w14:textId="1A332502" w:rsidR="003D1197" w:rsidRDefault="003D1197">
      <w:pPr>
        <w:pStyle w:val="NormalWeb"/>
        <w:ind w:firstLine="709"/>
      </w:pPr>
    </w:p>
    <w:p w14:paraId="371F7BB1" w14:textId="4DD91775" w:rsidR="003D1197" w:rsidRDefault="003D1197">
      <w:pPr>
        <w:pStyle w:val="NormalWeb"/>
        <w:ind w:firstLine="709"/>
      </w:pPr>
    </w:p>
    <w:p w14:paraId="1C65BB66" w14:textId="05D2EE02" w:rsidR="003D1197" w:rsidRDefault="003D1197">
      <w:pPr>
        <w:pStyle w:val="NormalWeb"/>
        <w:ind w:firstLine="709"/>
      </w:pPr>
    </w:p>
    <w:p w14:paraId="08016DD0" w14:textId="39DE890C" w:rsidR="003D1197" w:rsidRDefault="003D1197">
      <w:pPr>
        <w:pStyle w:val="NormalWeb"/>
        <w:ind w:firstLine="709"/>
      </w:pPr>
    </w:p>
    <w:p w14:paraId="6E2171C5" w14:textId="77777777" w:rsidR="003D1197" w:rsidRDefault="003D1197">
      <w:pPr>
        <w:pStyle w:val="NormalWeb"/>
        <w:ind w:firstLine="709"/>
      </w:pPr>
    </w:p>
    <w:p w14:paraId="4129F1DB" w14:textId="77777777" w:rsidR="00E72138" w:rsidRPr="00DE24F8" w:rsidRDefault="000032D8" w:rsidP="000032D8">
      <w:pPr>
        <w:autoSpaceDE w:val="0"/>
        <w:autoSpaceDN w:val="0"/>
        <w:adjustRightInd w:val="0"/>
        <w:rPr>
          <w:rFonts w:asciiTheme="majorBidi" w:eastAsia="Calibri" w:hAnsiTheme="majorBidi" w:cstheme="majorBidi"/>
          <w:b/>
          <w:bCs/>
          <w:sz w:val="24"/>
          <w:szCs w:val="24"/>
        </w:rPr>
      </w:pPr>
      <w:r>
        <w:rPr>
          <w:rFonts w:asciiTheme="majorBidi" w:hAnsiTheme="majorBidi" w:cstheme="majorBidi"/>
          <w:b/>
          <w:bCs/>
          <w:sz w:val="24"/>
          <w:szCs w:val="24"/>
        </w:rPr>
        <w:t>ANNEXES</w:t>
      </w:r>
    </w:p>
    <w:p w14:paraId="06C4BA30" w14:textId="77777777" w:rsidR="003D79C9" w:rsidRDefault="00A15298" w:rsidP="002232D8"/>
    <w:p w14:paraId="607249D9" w14:textId="2D829CC3" w:rsidR="003D79C9" w:rsidRPr="00473DCD" w:rsidRDefault="00A15298" w:rsidP="003C4935">
      <w:pPr>
        <w:jc w:val="center"/>
        <w:rPr>
          <w:rFonts w:asciiTheme="majorBidi" w:hAnsiTheme="majorBidi"/>
          <w:b/>
          <w:bCs/>
          <w:sz w:val="24"/>
          <w:szCs w:val="24"/>
        </w:rPr>
      </w:pPr>
      <w:r w:rsidRPr="00473DCD">
        <w:rPr>
          <w:rFonts w:asciiTheme="majorBidi" w:hAnsiTheme="majorBidi"/>
          <w:b/>
          <w:bCs/>
          <w:sz w:val="24"/>
          <w:szCs w:val="24"/>
        </w:rPr>
        <w:t>Guide d’entretien exploratoire</w:t>
      </w:r>
    </w:p>
    <w:p w14:paraId="1B87F49B" w14:textId="77777777" w:rsidR="003D79C9" w:rsidRPr="00473DCD" w:rsidRDefault="00A15298" w:rsidP="003C4935">
      <w:pPr>
        <w:jc w:val="center"/>
        <w:rPr>
          <w:sz w:val="24"/>
          <w:szCs w:val="24"/>
        </w:rPr>
      </w:pPr>
      <w:r w:rsidRPr="00473DCD">
        <w:rPr>
          <w:rFonts w:asciiTheme="majorBidi" w:hAnsiTheme="majorBidi" w:cstheme="majorBidi"/>
          <w:sz w:val="24"/>
          <w:szCs w:val="24"/>
        </w:rPr>
        <w:t>La Traçabilité des produits agroalimentaires et nouvelles technologies</w:t>
      </w:r>
    </w:p>
    <w:p w14:paraId="7A8B1C17" w14:textId="1B8AFD4D" w:rsidR="003D79C9" w:rsidRDefault="00A15298" w:rsidP="002232D8">
      <w:pPr>
        <w:rPr>
          <w:rFonts w:asciiTheme="majorBidi" w:hAnsiTheme="majorBidi" w:cstheme="majorBidi"/>
          <w:sz w:val="24"/>
          <w:szCs w:val="24"/>
        </w:rPr>
      </w:pPr>
    </w:p>
    <w:p w14:paraId="76C9BE00" w14:textId="77777777" w:rsidR="003C4935" w:rsidRPr="003C4935" w:rsidRDefault="00A15298" w:rsidP="003C4935">
      <w:pPr>
        <w:rPr>
          <w:rFonts w:asciiTheme="majorBidi" w:hAnsiTheme="majorBidi" w:cstheme="majorBidi"/>
          <w:sz w:val="24"/>
          <w:szCs w:val="24"/>
        </w:rPr>
      </w:pPr>
      <w:r>
        <w:rPr>
          <w:rFonts w:asciiTheme="majorBidi" w:hAnsiTheme="majorBidi" w:cstheme="majorBidi"/>
          <w:sz w:val="24"/>
          <w:szCs w:val="24"/>
        </w:rPr>
        <w:t>Introduction</w:t>
      </w:r>
    </w:p>
    <w:p w14:paraId="348AF57F" w14:textId="77777777" w:rsidR="003C4935" w:rsidRPr="003C4935" w:rsidRDefault="00A15298" w:rsidP="003C4935">
      <w:pPr>
        <w:rPr>
          <w:rFonts w:asciiTheme="majorBidi" w:hAnsiTheme="majorBidi" w:cstheme="majorBidi"/>
          <w:sz w:val="24"/>
          <w:szCs w:val="24"/>
        </w:rPr>
      </w:pPr>
      <w:r>
        <w:rPr>
          <w:rFonts w:asciiTheme="majorBidi" w:hAnsiTheme="majorBidi" w:cstheme="majorBidi"/>
          <w:sz w:val="24"/>
          <w:szCs w:val="24"/>
        </w:rPr>
        <w:t xml:space="preserve">Cher </w:t>
      </w:r>
      <w:r>
        <w:rPr>
          <w:rFonts w:asciiTheme="majorBidi" w:hAnsiTheme="majorBidi" w:cstheme="majorBidi"/>
          <w:sz w:val="24"/>
          <w:szCs w:val="24"/>
        </w:rPr>
        <w:t>participant,</w:t>
      </w:r>
    </w:p>
    <w:p w14:paraId="51F8C767" w14:textId="77777777" w:rsidR="003C4935" w:rsidRPr="003C4935" w:rsidRDefault="00A15298" w:rsidP="003C4935">
      <w:pPr>
        <w:rPr>
          <w:rFonts w:asciiTheme="majorBidi" w:hAnsiTheme="majorBidi" w:cstheme="majorBidi"/>
          <w:sz w:val="24"/>
          <w:szCs w:val="24"/>
        </w:rPr>
      </w:pPr>
      <w:r>
        <w:rPr>
          <w:rFonts w:asciiTheme="majorBidi" w:hAnsiTheme="majorBidi" w:cstheme="majorBidi"/>
          <w:sz w:val="24"/>
          <w:szCs w:val="24"/>
        </w:rPr>
        <w:t>Je mène actuellement une étude universitaire exploratoire sur la traçabilité des produits agroalimentaires et l’utilisation de nouvelles technologies, telles que la blockchain et l’intelligence artificielle (IA), afin d’améliorer la transparen</w:t>
      </w:r>
      <w:r>
        <w:rPr>
          <w:rFonts w:asciiTheme="majorBidi" w:hAnsiTheme="majorBidi" w:cstheme="majorBidi"/>
          <w:sz w:val="24"/>
          <w:szCs w:val="24"/>
        </w:rPr>
        <w:t>ce, la sécurité et la durabilité dans ce secteur.</w:t>
      </w:r>
    </w:p>
    <w:p w14:paraId="50069215" w14:textId="77777777" w:rsidR="003C4935" w:rsidRPr="003C4935" w:rsidRDefault="00A15298" w:rsidP="003C4935">
      <w:pPr>
        <w:rPr>
          <w:rFonts w:asciiTheme="majorBidi" w:hAnsiTheme="majorBidi" w:cstheme="majorBidi"/>
          <w:sz w:val="24"/>
          <w:szCs w:val="24"/>
        </w:rPr>
      </w:pPr>
      <w:r>
        <w:rPr>
          <w:rFonts w:asciiTheme="majorBidi" w:hAnsiTheme="majorBidi" w:cstheme="majorBidi"/>
          <w:sz w:val="24"/>
          <w:szCs w:val="24"/>
        </w:rPr>
        <w:t>L’objectif de cet entretien est de comprendre vos perceptions, vos attentes et vos préoccupations en tant que consommateur vis-à-vis des produits agroalimentaires et des technologies appliquées pour en amél</w:t>
      </w:r>
      <w:r>
        <w:rPr>
          <w:rFonts w:asciiTheme="majorBidi" w:hAnsiTheme="majorBidi" w:cstheme="majorBidi"/>
          <w:sz w:val="24"/>
          <w:szCs w:val="24"/>
        </w:rPr>
        <w:t>iorer la traçabilité.</w:t>
      </w:r>
    </w:p>
    <w:p w14:paraId="271F1D67" w14:textId="77777777" w:rsidR="003C4935" w:rsidRPr="003C4935" w:rsidRDefault="00A15298" w:rsidP="003C4935">
      <w:pPr>
        <w:rPr>
          <w:rFonts w:asciiTheme="majorBidi" w:hAnsiTheme="majorBidi" w:cstheme="majorBidi"/>
          <w:sz w:val="24"/>
          <w:szCs w:val="24"/>
        </w:rPr>
      </w:pPr>
      <w:r>
        <w:rPr>
          <w:rFonts w:asciiTheme="majorBidi" w:hAnsiTheme="majorBidi" w:cstheme="majorBidi"/>
          <w:sz w:val="24"/>
          <w:szCs w:val="24"/>
        </w:rPr>
        <w:t>Vos réponses resteront strictement anonymes et seront utilisées uniquement à des fins scientifiques.</w:t>
      </w:r>
    </w:p>
    <w:p w14:paraId="3E2440AD" w14:textId="6FB7AFDD" w:rsidR="003C4935" w:rsidRPr="003E3CF5" w:rsidRDefault="00A15298" w:rsidP="003C4935">
      <w:pPr>
        <w:rPr>
          <w:rFonts w:asciiTheme="majorBidi" w:hAnsiTheme="majorBidi" w:cstheme="majorBidi"/>
          <w:sz w:val="24"/>
          <w:szCs w:val="24"/>
        </w:rPr>
      </w:pPr>
      <w:r>
        <w:rPr>
          <w:rFonts w:asciiTheme="majorBidi" w:hAnsiTheme="majorBidi" w:cstheme="majorBidi"/>
          <w:sz w:val="24"/>
          <w:szCs w:val="24"/>
        </w:rPr>
        <w:t>Nous vous remercions pour votre précieuse contribution à cette recherche.</w:t>
      </w:r>
    </w:p>
    <w:p w14:paraId="45C1A6F3" w14:textId="77777777"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1. Mise en confiance – Habitudes de consommation agroalimen</w:t>
      </w:r>
      <w:r>
        <w:rPr>
          <w:rFonts w:asciiTheme="majorBidi" w:hAnsiTheme="majorBidi" w:cstheme="majorBidi"/>
          <w:b/>
          <w:bCs/>
          <w:sz w:val="24"/>
          <w:szCs w:val="24"/>
        </w:rPr>
        <w:t>taire</w:t>
      </w:r>
    </w:p>
    <w:p w14:paraId="312E9736"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Pouvez-vous me parler de vos habitudes d’achat de produits agroalimentaires (produits frais, transformés, emballés, importés, locaux, etc.) ?</w:t>
      </w:r>
    </w:p>
    <w:p w14:paraId="3A5B8CFF" w14:textId="4557FB6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Quels critères privilégiez-vous lors de l’achat de produits agroalimentaires (prix, qualité, origine, labels</w:t>
      </w:r>
      <w:r>
        <w:rPr>
          <w:rFonts w:asciiTheme="majorBidi" w:hAnsiTheme="majorBidi" w:cstheme="majorBidi"/>
          <w:sz w:val="24"/>
          <w:szCs w:val="24"/>
        </w:rPr>
        <w:t>, certifications, marque, valeur nutritionnelle, etc.) ?</w:t>
      </w:r>
    </w:p>
    <w:p w14:paraId="653CD3F9" w14:textId="77777777"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2. Perception de la traçabilité dans l’agroalimentaire</w:t>
      </w:r>
    </w:p>
    <w:p w14:paraId="699CE048"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Avez-vous déjà entendu parler de la traçabilité des produits agroalimentaires ?</w:t>
      </w:r>
    </w:p>
    <w:p w14:paraId="4255086B"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Que signifie pour vous la traçabilité dans ce secteur ? (ex. sui</w:t>
      </w:r>
      <w:r>
        <w:rPr>
          <w:rFonts w:asciiTheme="majorBidi" w:hAnsiTheme="majorBidi" w:cstheme="majorBidi"/>
          <w:sz w:val="24"/>
          <w:szCs w:val="24"/>
        </w:rPr>
        <w:t>vi du champ/ferme à l’assiette, contrôle qualité, étapes de transformation, transport, distribution).</w:t>
      </w:r>
    </w:p>
    <w:p w14:paraId="0F035AA4" w14:textId="73D534D4"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Dans quelle mesure est-il important pour vous de connaître le parcours complet d’un produit agroalimentaire avant de l’acheter ?</w:t>
      </w:r>
    </w:p>
    <w:p w14:paraId="0EB9038C" w14:textId="77777777"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3. Confiance et durabilit</w:t>
      </w:r>
      <w:r>
        <w:rPr>
          <w:rFonts w:asciiTheme="majorBidi" w:hAnsiTheme="majorBidi" w:cstheme="majorBidi"/>
          <w:b/>
          <w:bCs/>
          <w:sz w:val="24"/>
          <w:szCs w:val="24"/>
        </w:rPr>
        <w:t>é</w:t>
      </w:r>
    </w:p>
    <w:p w14:paraId="6AC9CDA6"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lastRenderedPageBreak/>
        <w:t>Faites-vous confiance aux informations présentes sur les emballages (origine, date de péremption, labels comme bio, halal, sans OGM, commerce équitable, etc.) ?</w:t>
      </w:r>
    </w:p>
    <w:p w14:paraId="5AE3578F"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Selon vous, les entreprises agroalimentaires sont-elles suffisamment transparentes sur l’orig</w:t>
      </w:r>
      <w:r>
        <w:rPr>
          <w:rFonts w:asciiTheme="majorBidi" w:hAnsiTheme="majorBidi" w:cstheme="majorBidi"/>
          <w:sz w:val="24"/>
          <w:szCs w:val="24"/>
        </w:rPr>
        <w:t>ine et la qualité de leurs produits ?</w:t>
      </w:r>
    </w:p>
    <w:p w14:paraId="5EA2E556"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Quand on parle de durabilité agroalimentaire (réduction du gaspillage, respect de l’environnement, pratiques agricoles responsables, transformation locale), qu’est-ce que cela vous évoque ?</w:t>
      </w:r>
    </w:p>
    <w:p w14:paraId="2A44ECA9" w14:textId="5B54842B" w:rsidR="003D79C9" w:rsidRPr="003E3CF5" w:rsidRDefault="00A15298" w:rsidP="002232D8">
      <w:pPr>
        <w:rPr>
          <w:rFonts w:asciiTheme="majorBidi" w:hAnsiTheme="majorBidi" w:cstheme="majorBidi"/>
          <w:sz w:val="24"/>
          <w:szCs w:val="24"/>
        </w:rPr>
      </w:pPr>
    </w:p>
    <w:p w14:paraId="3137CFC2" w14:textId="77777777"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 xml:space="preserve">4. Introduction des </w:t>
      </w:r>
      <w:r>
        <w:rPr>
          <w:rFonts w:asciiTheme="majorBidi" w:hAnsiTheme="majorBidi" w:cstheme="majorBidi"/>
          <w:b/>
          <w:bCs/>
          <w:sz w:val="24"/>
          <w:szCs w:val="24"/>
        </w:rPr>
        <w:t>nouvelles technologies dans l’agroalimentaire</w:t>
      </w:r>
    </w:p>
    <w:p w14:paraId="452A2071"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Avez-vous déjà entendu parler de la blockchain ou de l’intelligence artificielle appliquées au secteur agroalimentaire ?</w:t>
      </w:r>
    </w:p>
    <w:p w14:paraId="7C2B5628"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Selon vous, comment des technologies comme la blockchain pourraient-elles améliorer la tr</w:t>
      </w:r>
      <w:r>
        <w:rPr>
          <w:rFonts w:asciiTheme="majorBidi" w:hAnsiTheme="majorBidi" w:cstheme="majorBidi"/>
          <w:sz w:val="24"/>
          <w:szCs w:val="24"/>
        </w:rPr>
        <w:t>açabilité, la transparence et la confiance dans ce secteur ?</w:t>
      </w:r>
    </w:p>
    <w:p w14:paraId="65B2D339" w14:textId="68E9774F"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 xml:space="preserve">Seriez-vous prêt(e) à utiliser une application mobile ou scanner un QR code sur un produit agroalimentaire pour vérifier son origine, sa qualité et son parcours logistique ? Pourquoi ou pourquoi </w:t>
      </w:r>
      <w:r>
        <w:rPr>
          <w:rFonts w:asciiTheme="majorBidi" w:hAnsiTheme="majorBidi" w:cstheme="majorBidi"/>
          <w:sz w:val="24"/>
          <w:szCs w:val="24"/>
        </w:rPr>
        <w:t>pas ?</w:t>
      </w:r>
    </w:p>
    <w:p w14:paraId="185E155D" w14:textId="77777777"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5. Freins et motivations à l’adoption</w:t>
      </w:r>
    </w:p>
    <w:p w14:paraId="6C665A96" w14:textId="6A30B76C"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Qu’est-ce qui pourrait vous motiver à adopter ces solutions dans vos achats agroalimentaires ? (Sécurité sanitaire, confiance, qualité, durabilité, transparence des prix).</w:t>
      </w:r>
    </w:p>
    <w:p w14:paraId="0D79DFE6" w14:textId="1246CFCA"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Quels seraient, selon vous, les freins o</w:t>
      </w:r>
      <w:r>
        <w:rPr>
          <w:rFonts w:asciiTheme="majorBidi" w:hAnsiTheme="majorBidi" w:cstheme="majorBidi"/>
          <w:sz w:val="24"/>
          <w:szCs w:val="24"/>
        </w:rPr>
        <w:t>u inquiétudes liés à l’utilisation de ces technologies dans le secteur agroalimentaire (ex. prix plus élevés, complexité, surcharge d’informations, protection des données personnelles) ?</w:t>
      </w:r>
    </w:p>
    <w:p w14:paraId="178F4556" w14:textId="4B1EC136" w:rsidR="003D79C9" w:rsidRPr="003E3CF5" w:rsidRDefault="00A15298" w:rsidP="002232D8">
      <w:pPr>
        <w:rPr>
          <w:rFonts w:asciiTheme="majorBidi" w:hAnsiTheme="majorBidi" w:cstheme="majorBidi"/>
          <w:b/>
          <w:bCs/>
          <w:sz w:val="24"/>
          <w:szCs w:val="24"/>
        </w:rPr>
      </w:pPr>
      <w:r>
        <w:rPr>
          <w:rFonts w:asciiTheme="majorBidi" w:hAnsiTheme="majorBidi" w:cstheme="majorBidi"/>
          <w:b/>
          <w:bCs/>
          <w:sz w:val="24"/>
          <w:szCs w:val="24"/>
        </w:rPr>
        <w:t xml:space="preserve">6. Conclusion </w:t>
      </w:r>
    </w:p>
    <w:p w14:paraId="6E63B25B"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Selon vous, qu’est-ce qui pourrait convaincre les cons</w:t>
      </w:r>
      <w:r>
        <w:rPr>
          <w:rFonts w:asciiTheme="majorBidi" w:hAnsiTheme="majorBidi" w:cstheme="majorBidi"/>
          <w:sz w:val="24"/>
          <w:szCs w:val="24"/>
        </w:rPr>
        <w:t>ommateurs d’adopter davantage ces solutions dans le secteur agroalimentaire ?</w:t>
      </w:r>
    </w:p>
    <w:p w14:paraId="01BE3D28" w14:textId="77777777" w:rsidR="003D79C9" w:rsidRPr="003E3CF5" w:rsidRDefault="00A15298" w:rsidP="002232D8">
      <w:pPr>
        <w:rPr>
          <w:rFonts w:asciiTheme="majorBidi" w:hAnsiTheme="majorBidi" w:cstheme="majorBidi"/>
          <w:sz w:val="24"/>
          <w:szCs w:val="24"/>
        </w:rPr>
      </w:pPr>
      <w:r>
        <w:rPr>
          <w:rFonts w:asciiTheme="majorBidi" w:hAnsiTheme="majorBidi" w:cstheme="majorBidi"/>
          <w:sz w:val="24"/>
          <w:szCs w:val="24"/>
        </w:rPr>
        <w:t>Avez-vous des attentes spécifiques pour améliorer la traçabilité et la transparence des produits agroalimentaires ?</w:t>
      </w:r>
    </w:p>
    <w:p w14:paraId="1A2BA9DD" w14:textId="77777777" w:rsidR="003D1197" w:rsidRDefault="00A15298" w:rsidP="003D1197">
      <w:pPr>
        <w:rPr>
          <w:rFonts w:asciiTheme="majorBidi" w:hAnsiTheme="majorBidi" w:cstheme="majorBidi"/>
          <w:sz w:val="24"/>
          <w:szCs w:val="24"/>
        </w:rPr>
      </w:pPr>
      <w:r>
        <w:rPr>
          <w:rFonts w:asciiTheme="majorBidi" w:hAnsiTheme="majorBidi" w:cstheme="majorBidi"/>
          <w:sz w:val="24"/>
          <w:szCs w:val="24"/>
        </w:rPr>
        <w:t xml:space="preserve">Y a-t-il autre chose que vous souhaiteriez ajouter </w:t>
      </w:r>
      <w:r>
        <w:rPr>
          <w:rFonts w:asciiTheme="majorBidi" w:hAnsiTheme="majorBidi" w:cstheme="majorBidi"/>
          <w:sz w:val="24"/>
          <w:szCs w:val="24"/>
        </w:rPr>
        <w:t>concernant la sécurité, la qualité ou la transparence des produits agroalimentaires ?</w:t>
      </w:r>
    </w:p>
    <w:p w14:paraId="0A23BEFE" w14:textId="2D25B208" w:rsidR="003D79C9" w:rsidRDefault="00A15298" w:rsidP="003D1197">
      <w:pPr>
        <w:rPr>
          <w:rFonts w:asciiTheme="majorBidi" w:hAnsiTheme="majorBidi" w:cstheme="majorBidi"/>
          <w:sz w:val="24"/>
          <w:szCs w:val="24"/>
        </w:rPr>
      </w:pPr>
      <w:r>
        <w:rPr>
          <w:rFonts w:asciiTheme="majorBidi" w:hAnsiTheme="majorBidi" w:cstheme="majorBidi"/>
          <w:sz w:val="24"/>
          <w:szCs w:val="24"/>
        </w:rPr>
        <w:br/>
        <w:t>Nous vous remercions sincèrement pour le temps et les informations que vous avez partagées. Vos réponses sont précieuses.</w:t>
      </w:r>
    </w:p>
    <w:p w14:paraId="36077DD5" w14:textId="58731C3C" w:rsidR="003D1197" w:rsidRDefault="003D1197" w:rsidP="002232D8">
      <w:pPr>
        <w:rPr>
          <w:rFonts w:asciiTheme="majorBidi" w:hAnsiTheme="majorBidi" w:cstheme="majorBidi"/>
          <w:sz w:val="24"/>
          <w:szCs w:val="24"/>
        </w:rPr>
      </w:pPr>
    </w:p>
    <w:p w14:paraId="530F0B0E" w14:textId="77777777" w:rsidR="003D1197" w:rsidRPr="003E3CF5" w:rsidRDefault="003D1197" w:rsidP="002232D8">
      <w:pPr>
        <w:rPr>
          <w:rFonts w:asciiTheme="majorBidi" w:hAnsiTheme="majorBidi" w:cstheme="majorBidi"/>
          <w:sz w:val="24"/>
          <w:szCs w:val="24"/>
        </w:rPr>
      </w:pPr>
    </w:p>
    <w:p w14:paraId="10B60F5C" w14:textId="77777777" w:rsidR="00E72138" w:rsidRPr="00DE24F8" w:rsidRDefault="00E72138" w:rsidP="000032D8">
      <w:pPr>
        <w:autoSpaceDE w:val="0"/>
        <w:autoSpaceDN w:val="0"/>
        <w:adjustRightInd w:val="0"/>
        <w:rPr>
          <w:rFonts w:asciiTheme="majorBidi" w:eastAsia="Calibri" w:hAnsiTheme="majorBidi" w:cstheme="majorBidi"/>
          <w:b/>
          <w:bCs/>
          <w:sz w:val="24"/>
          <w:szCs w:val="24"/>
        </w:rPr>
      </w:pPr>
      <w:r>
        <w:rPr>
          <w:rFonts w:asciiTheme="majorBidi" w:hAnsiTheme="majorBidi" w:cstheme="majorBidi"/>
          <w:b/>
          <w:bCs/>
          <w:sz w:val="24"/>
          <w:szCs w:val="24"/>
        </w:rPr>
        <w:t xml:space="preserve">BIBLIOGRAPHIE   </w:t>
      </w:r>
    </w:p>
    <w:p w14:paraId="14EF6469" w14:textId="3EEBD53B" w:rsidR="003E3CF5" w:rsidRPr="002E7BCE" w:rsidRDefault="00A15298" w:rsidP="00304CDF"/>
    <w:p w14:paraId="0AD23F2F"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Aschemann-Witzel, J., Giménez</w:t>
      </w:r>
      <w:r>
        <w:rPr>
          <w:rFonts w:ascii="Times New Roman" w:eastAsia="Times New Roman" w:hAnsi="Times New Roman" w:cs="Times New Roman"/>
          <w:sz w:val="24"/>
          <w:szCs w:val="24"/>
        </w:rPr>
        <w:t xml:space="preserve">, A., &amp; Ares, G. (2019). </w:t>
      </w:r>
      <w:r>
        <w:rPr>
          <w:rFonts w:ascii="Times New Roman" w:eastAsia="Times New Roman" w:hAnsi="Times New Roman" w:cs="Times New Roman"/>
          <w:sz w:val="24"/>
          <w:szCs w:val="24"/>
          <w:lang w:val="en-US"/>
        </w:rPr>
        <w:t xml:space="preserve">Consumer in-store choice of suboptimal food products in the supermarket and the relation to food waste in households. </w:t>
      </w:r>
      <w:r>
        <w:rPr>
          <w:rFonts w:ascii="Times New Roman" w:eastAsia="Times New Roman" w:hAnsi="Times New Roman" w:cs="Times New Roman"/>
          <w:i/>
          <w:iCs/>
          <w:sz w:val="24"/>
          <w:szCs w:val="24"/>
          <w:lang w:val="en-US"/>
        </w:rPr>
        <w:t>Food Quality and Preference, 75,</w:t>
      </w:r>
      <w:r>
        <w:rPr>
          <w:rFonts w:ascii="Times New Roman" w:eastAsia="Times New Roman" w:hAnsi="Times New Roman" w:cs="Times New Roman"/>
          <w:sz w:val="24"/>
          <w:szCs w:val="24"/>
          <w:lang w:val="en-US"/>
        </w:rPr>
        <w:t xml:space="preserve"> 1-10. https://doi.org/10.1016/j.foodqual.2019.02.013</w:t>
      </w:r>
    </w:p>
    <w:p w14:paraId="3ECEB5C8"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Aversa, R., Petrescu, R. V.</w:t>
      </w:r>
      <w:r>
        <w:rPr>
          <w:rFonts w:ascii="Times New Roman" w:eastAsia="Times New Roman" w:hAnsi="Times New Roman" w:cs="Times New Roman"/>
          <w:sz w:val="24"/>
          <w:szCs w:val="24"/>
          <w:lang w:val="en-US"/>
        </w:rPr>
        <w:t xml:space="preserve">, Petrescu, F. I. T., &amp; Apicella, A. (2021). Blockchain technology in the food industry: From traceability to sustainability. </w:t>
      </w:r>
      <w:r>
        <w:rPr>
          <w:rFonts w:ascii="Times New Roman" w:eastAsia="Times New Roman" w:hAnsi="Times New Roman" w:cs="Times New Roman"/>
          <w:i/>
          <w:iCs/>
          <w:sz w:val="24"/>
          <w:szCs w:val="24"/>
          <w:lang w:val="en-US"/>
        </w:rPr>
        <w:t>Journal of Food Engineering, 294,</w:t>
      </w:r>
      <w:r>
        <w:rPr>
          <w:rFonts w:ascii="Times New Roman" w:eastAsia="Times New Roman" w:hAnsi="Times New Roman" w:cs="Times New Roman"/>
          <w:sz w:val="24"/>
          <w:szCs w:val="24"/>
          <w:lang w:val="en-US"/>
        </w:rPr>
        <w:t xml:space="preserve"> 110393. https://doi.org/10.1016/j.jfoodeng.2020.110393</w:t>
      </w:r>
    </w:p>
    <w:p w14:paraId="1B208CFB"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Auger, P., &amp; Devinney, T. M. (2007). Do w</w:t>
      </w:r>
      <w:r>
        <w:rPr>
          <w:rFonts w:ascii="Times New Roman" w:eastAsia="Times New Roman" w:hAnsi="Times New Roman" w:cs="Times New Roman"/>
          <w:sz w:val="24"/>
          <w:szCs w:val="24"/>
          <w:lang w:val="en-US"/>
        </w:rPr>
        <w:t xml:space="preserve">hat consumers say matter? The misalignment of preferences with unconstrained ethical intentions. </w:t>
      </w:r>
      <w:r>
        <w:rPr>
          <w:rFonts w:ascii="Times New Roman" w:eastAsia="Times New Roman" w:hAnsi="Times New Roman" w:cs="Times New Roman"/>
          <w:i/>
          <w:iCs/>
          <w:sz w:val="24"/>
          <w:szCs w:val="24"/>
          <w:lang w:val="en-US"/>
        </w:rPr>
        <w:t>Journal of Business Ethics, 76(4),</w:t>
      </w:r>
      <w:r>
        <w:rPr>
          <w:rFonts w:ascii="Times New Roman" w:eastAsia="Times New Roman" w:hAnsi="Times New Roman" w:cs="Times New Roman"/>
          <w:sz w:val="24"/>
          <w:szCs w:val="24"/>
          <w:lang w:val="en-US"/>
        </w:rPr>
        <w:t xml:space="preserve"> 361-383. https://doi.org/10.1007/s10551-006-9287-y</w:t>
      </w:r>
    </w:p>
    <w:p w14:paraId="4ACD2C0F"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Bechini, A., Cimino, M. G., Marcelloni, F., &amp; Tomasi, A. (2008). </w:t>
      </w:r>
      <w:r>
        <w:rPr>
          <w:rFonts w:ascii="Times New Roman" w:eastAsia="Times New Roman" w:hAnsi="Times New Roman" w:cs="Times New Roman"/>
          <w:sz w:val="24"/>
          <w:szCs w:val="24"/>
          <w:lang w:val="en-US"/>
        </w:rPr>
        <w:t>Patterns</w:t>
      </w:r>
      <w:r>
        <w:rPr>
          <w:rFonts w:ascii="Times New Roman" w:eastAsia="Times New Roman" w:hAnsi="Times New Roman" w:cs="Times New Roman"/>
          <w:sz w:val="24"/>
          <w:szCs w:val="24"/>
          <w:lang w:val="en-US"/>
        </w:rPr>
        <w:t xml:space="preserve"> and technologies for enabling supply chain traceability through collaborative e-business. </w:t>
      </w:r>
      <w:r>
        <w:rPr>
          <w:rFonts w:ascii="Times New Roman" w:eastAsia="Times New Roman" w:hAnsi="Times New Roman" w:cs="Times New Roman"/>
          <w:i/>
          <w:iCs/>
          <w:sz w:val="24"/>
          <w:szCs w:val="24"/>
          <w:lang w:val="en-US"/>
        </w:rPr>
        <w:t>Information and Software Technology, 50(4),</w:t>
      </w:r>
      <w:r>
        <w:rPr>
          <w:rFonts w:ascii="Times New Roman" w:eastAsia="Times New Roman" w:hAnsi="Times New Roman" w:cs="Times New Roman"/>
          <w:sz w:val="24"/>
          <w:szCs w:val="24"/>
          <w:lang w:val="en-US"/>
        </w:rPr>
        <w:t xml:space="preserve"> 342-359. https://doi.org/10.1016/j.infsof.2007.02.017</w:t>
      </w:r>
    </w:p>
    <w:p w14:paraId="3C20221A"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Behnke, K., &amp; Janssen, M. F. W. H. A. (2020). Boundary conditions f</w:t>
      </w:r>
      <w:r>
        <w:rPr>
          <w:rFonts w:ascii="Times New Roman" w:eastAsia="Times New Roman" w:hAnsi="Times New Roman" w:cs="Times New Roman"/>
          <w:sz w:val="24"/>
          <w:szCs w:val="24"/>
          <w:lang w:val="en-US"/>
        </w:rPr>
        <w:t xml:space="preserve">or traceability in food supply chains using blockchain technology. </w:t>
      </w:r>
      <w:r>
        <w:rPr>
          <w:rFonts w:ascii="Times New Roman" w:eastAsia="Times New Roman" w:hAnsi="Times New Roman" w:cs="Times New Roman"/>
          <w:i/>
          <w:iCs/>
          <w:sz w:val="24"/>
          <w:szCs w:val="24"/>
          <w:lang w:val="en-US"/>
        </w:rPr>
        <w:t>International Journal of Information Management, 52,</w:t>
      </w:r>
      <w:r>
        <w:rPr>
          <w:rFonts w:ascii="Times New Roman" w:eastAsia="Times New Roman" w:hAnsi="Times New Roman" w:cs="Times New Roman"/>
          <w:sz w:val="24"/>
          <w:szCs w:val="24"/>
          <w:lang w:val="en-US"/>
        </w:rPr>
        <w:t xml:space="preserve"> 101969. https://doi.org/10.1016/j.ijinfomgt.2019.05.025</w:t>
      </w:r>
    </w:p>
    <w:p w14:paraId="37C91371"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Bosona, T., &amp; Gebresenbet, G. (2013). Food traceability as an integral part of l</w:t>
      </w:r>
      <w:r>
        <w:rPr>
          <w:rFonts w:ascii="Times New Roman" w:eastAsia="Times New Roman" w:hAnsi="Times New Roman" w:cs="Times New Roman"/>
          <w:sz w:val="24"/>
          <w:szCs w:val="24"/>
          <w:lang w:val="en-US"/>
        </w:rPr>
        <w:t xml:space="preserve">ogistics management in food and agricultural supply chain. </w:t>
      </w:r>
      <w:r>
        <w:rPr>
          <w:rFonts w:ascii="Times New Roman" w:eastAsia="Times New Roman" w:hAnsi="Times New Roman" w:cs="Times New Roman"/>
          <w:i/>
          <w:iCs/>
          <w:sz w:val="24"/>
          <w:szCs w:val="24"/>
          <w:lang w:val="en-US"/>
        </w:rPr>
        <w:t>Food Control, 33(1),</w:t>
      </w:r>
      <w:r>
        <w:rPr>
          <w:rFonts w:ascii="Times New Roman" w:eastAsia="Times New Roman" w:hAnsi="Times New Roman" w:cs="Times New Roman"/>
          <w:sz w:val="24"/>
          <w:szCs w:val="24"/>
          <w:lang w:val="en-US"/>
        </w:rPr>
        <w:t xml:space="preserve"> 32-48. https://doi.org/10.1016/j.foodcont.2013.02.004</w:t>
      </w:r>
    </w:p>
    <w:p w14:paraId="37FBA148"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Braun, V., &amp; Clarke, V. (2006). Using thematic analysis in psychology. </w:t>
      </w:r>
      <w:r>
        <w:rPr>
          <w:rFonts w:ascii="Times New Roman" w:eastAsia="Times New Roman" w:hAnsi="Times New Roman" w:cs="Times New Roman"/>
          <w:i/>
          <w:iCs/>
          <w:sz w:val="24"/>
          <w:szCs w:val="24"/>
          <w:lang w:val="en-US"/>
        </w:rPr>
        <w:t>Qualitative Research in Psychology, 3(2),</w:t>
      </w:r>
      <w:r>
        <w:rPr>
          <w:rFonts w:ascii="Times New Roman" w:eastAsia="Times New Roman" w:hAnsi="Times New Roman" w:cs="Times New Roman"/>
          <w:sz w:val="24"/>
          <w:szCs w:val="24"/>
          <w:lang w:val="en-US"/>
        </w:rPr>
        <w:t xml:space="preserve"> 77-101. h</w:t>
      </w:r>
      <w:r>
        <w:rPr>
          <w:rFonts w:ascii="Times New Roman" w:eastAsia="Times New Roman" w:hAnsi="Times New Roman" w:cs="Times New Roman"/>
          <w:sz w:val="24"/>
          <w:szCs w:val="24"/>
          <w:lang w:val="en-US"/>
        </w:rPr>
        <w:t>ttps://doi.org/10.1191/1478088706qp063oa</w:t>
      </w:r>
    </w:p>
    <w:p w14:paraId="4B6708B8"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Charlebois, S., Sterling, B., Haratifar, S., &amp; Naing, S. K. (2014). Comparison of global food traceability regulations and requirements. </w:t>
      </w:r>
      <w:r>
        <w:rPr>
          <w:rFonts w:ascii="Times New Roman" w:eastAsia="Times New Roman" w:hAnsi="Times New Roman" w:cs="Times New Roman"/>
          <w:i/>
          <w:iCs/>
          <w:sz w:val="24"/>
          <w:szCs w:val="24"/>
          <w:lang w:val="en-US"/>
        </w:rPr>
        <w:t>Comprehensive Reviews in Food Science and Food Safety, 13(5),</w:t>
      </w:r>
      <w:r>
        <w:rPr>
          <w:rFonts w:ascii="Times New Roman" w:eastAsia="Times New Roman" w:hAnsi="Times New Roman" w:cs="Times New Roman"/>
          <w:sz w:val="24"/>
          <w:szCs w:val="24"/>
          <w:lang w:val="en-US"/>
        </w:rPr>
        <w:t xml:space="preserve"> 1104-1123. https://doi.org/10.1111/1541-4337.12101</w:t>
      </w:r>
    </w:p>
    <w:p w14:paraId="4AC65236"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Davis, F. D. (1989). Perceived usefulness, perceived ease of use, and user acceptance of information technology. </w:t>
      </w:r>
      <w:r>
        <w:rPr>
          <w:rFonts w:ascii="Times New Roman" w:eastAsia="Times New Roman" w:hAnsi="Times New Roman" w:cs="Times New Roman"/>
          <w:i/>
          <w:iCs/>
          <w:sz w:val="24"/>
          <w:szCs w:val="24"/>
          <w:lang w:val="en-US"/>
        </w:rPr>
        <w:t>MIS Quarterly, 13(3),</w:t>
      </w:r>
      <w:r>
        <w:rPr>
          <w:rFonts w:ascii="Times New Roman" w:eastAsia="Times New Roman" w:hAnsi="Times New Roman" w:cs="Times New Roman"/>
          <w:sz w:val="24"/>
          <w:szCs w:val="24"/>
          <w:lang w:val="en-US"/>
        </w:rPr>
        <w:t xml:space="preserve"> 319-340. https://doi.org/10.2307/249008</w:t>
      </w:r>
    </w:p>
    <w:p w14:paraId="354CB384"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Fernqvist, F., &amp; Ekelund, L. </w:t>
      </w:r>
      <w:r>
        <w:rPr>
          <w:rFonts w:ascii="Times New Roman" w:eastAsia="Times New Roman" w:hAnsi="Times New Roman" w:cs="Times New Roman"/>
          <w:sz w:val="24"/>
          <w:szCs w:val="24"/>
          <w:lang w:val="en-US"/>
        </w:rPr>
        <w:t xml:space="preserve">(2014). Credence and the effect on consumer liking of food—A review. </w:t>
      </w:r>
      <w:r>
        <w:rPr>
          <w:rFonts w:ascii="Times New Roman" w:eastAsia="Times New Roman" w:hAnsi="Times New Roman" w:cs="Times New Roman"/>
          <w:i/>
          <w:iCs/>
          <w:sz w:val="24"/>
          <w:szCs w:val="24"/>
          <w:lang w:val="en-US"/>
        </w:rPr>
        <w:t>Food Quality and Preference, 32,</w:t>
      </w:r>
      <w:r>
        <w:rPr>
          <w:rFonts w:ascii="Times New Roman" w:eastAsia="Times New Roman" w:hAnsi="Times New Roman" w:cs="Times New Roman"/>
          <w:sz w:val="24"/>
          <w:szCs w:val="24"/>
          <w:lang w:val="en-US"/>
        </w:rPr>
        <w:t xml:space="preserve"> 340-353. https://doi.org/10.1016/j.foodqual.2013.10.005</w:t>
      </w:r>
    </w:p>
    <w:p w14:paraId="5A8F96E2"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Francisco, K., &amp; Swanson, D. (2018). The supply chain has no clothes: Technology adoption of block</w:t>
      </w:r>
      <w:r>
        <w:rPr>
          <w:rFonts w:ascii="Times New Roman" w:eastAsia="Times New Roman" w:hAnsi="Times New Roman" w:cs="Times New Roman"/>
          <w:sz w:val="24"/>
          <w:szCs w:val="24"/>
          <w:lang w:val="en-US"/>
        </w:rPr>
        <w:t xml:space="preserve">chain for supply chain transparency. </w:t>
      </w:r>
      <w:r>
        <w:rPr>
          <w:rFonts w:ascii="Times New Roman" w:eastAsia="Times New Roman" w:hAnsi="Times New Roman" w:cs="Times New Roman"/>
          <w:i/>
          <w:iCs/>
          <w:sz w:val="24"/>
          <w:szCs w:val="24"/>
          <w:lang w:val="en-US"/>
        </w:rPr>
        <w:t>Logistics, 2(1),</w:t>
      </w:r>
      <w:r>
        <w:rPr>
          <w:rFonts w:ascii="Times New Roman" w:eastAsia="Times New Roman" w:hAnsi="Times New Roman" w:cs="Times New Roman"/>
          <w:sz w:val="24"/>
          <w:szCs w:val="24"/>
          <w:lang w:val="en-US"/>
        </w:rPr>
        <w:t xml:space="preserve"> 2. https://doi.org/10.3390/logistics2010002</w:t>
      </w:r>
    </w:p>
    <w:p w14:paraId="519C4453"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Galvez, J. F., Mejuto, J. C., &amp; Simal-Gandara, J. (2018). Future challenges on the use of blockchain for food traceability analysis. </w:t>
      </w:r>
      <w:r>
        <w:rPr>
          <w:rFonts w:ascii="Times New Roman" w:eastAsia="Times New Roman" w:hAnsi="Times New Roman" w:cs="Times New Roman"/>
          <w:i/>
          <w:iCs/>
          <w:sz w:val="24"/>
          <w:szCs w:val="24"/>
          <w:lang w:val="en-US"/>
        </w:rPr>
        <w:t>Trends in Analytical Chem</w:t>
      </w:r>
      <w:r>
        <w:rPr>
          <w:rFonts w:ascii="Times New Roman" w:eastAsia="Times New Roman" w:hAnsi="Times New Roman" w:cs="Times New Roman"/>
          <w:i/>
          <w:iCs/>
          <w:sz w:val="24"/>
          <w:szCs w:val="24"/>
          <w:lang w:val="en-US"/>
        </w:rPr>
        <w:t>istry, 107,</w:t>
      </w:r>
      <w:r>
        <w:rPr>
          <w:rFonts w:ascii="Times New Roman" w:eastAsia="Times New Roman" w:hAnsi="Times New Roman" w:cs="Times New Roman"/>
          <w:sz w:val="24"/>
          <w:szCs w:val="24"/>
          <w:lang w:val="en-US"/>
        </w:rPr>
        <w:t xml:space="preserve"> 222-232. https://doi.org/10.1016/j.trac.2018.08.011</w:t>
      </w:r>
    </w:p>
    <w:p w14:paraId="72F61764"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Garcia, R., &amp; Lee, S. (2021). Consumer trust in food traceability systems: The role of technology and transparency. </w:t>
      </w:r>
      <w:r>
        <w:rPr>
          <w:rFonts w:ascii="Times New Roman" w:eastAsia="Times New Roman" w:hAnsi="Times New Roman" w:cs="Times New Roman"/>
          <w:i/>
          <w:iCs/>
          <w:sz w:val="24"/>
          <w:szCs w:val="24"/>
          <w:lang w:val="en-US"/>
        </w:rPr>
        <w:t>Journal of Consumer Behaviour, 20(5),</w:t>
      </w:r>
      <w:r>
        <w:rPr>
          <w:rFonts w:ascii="Times New Roman" w:eastAsia="Times New Roman" w:hAnsi="Times New Roman" w:cs="Times New Roman"/>
          <w:sz w:val="24"/>
          <w:szCs w:val="24"/>
          <w:lang w:val="en-US"/>
        </w:rPr>
        <w:t xml:space="preserve"> 1208-1222. https://doi.org/10.1002/cb.1965</w:t>
      </w:r>
    </w:p>
    <w:p w14:paraId="65EC3F1A"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Grunert, K. G. (2011). Sustainability in the food sector: A</w:t>
      </w:r>
      <w:r>
        <w:rPr>
          <w:rFonts w:ascii="Times New Roman" w:eastAsia="Times New Roman" w:hAnsi="Times New Roman" w:cs="Times New Roman"/>
          <w:sz w:val="24"/>
          <w:szCs w:val="24"/>
          <w:lang w:val="en-US"/>
        </w:rPr>
        <w:t xml:space="preserve"> consumer behaviour perspective. </w:t>
      </w:r>
      <w:r>
        <w:rPr>
          <w:rFonts w:ascii="Times New Roman" w:eastAsia="Times New Roman" w:hAnsi="Times New Roman" w:cs="Times New Roman"/>
          <w:i/>
          <w:iCs/>
          <w:sz w:val="24"/>
          <w:szCs w:val="24"/>
          <w:lang w:val="en-US"/>
        </w:rPr>
        <w:t>International Journal on Food System Dynamics, 2(3),</w:t>
      </w:r>
      <w:r>
        <w:rPr>
          <w:rFonts w:ascii="Times New Roman" w:eastAsia="Times New Roman" w:hAnsi="Times New Roman" w:cs="Times New Roman"/>
          <w:sz w:val="24"/>
          <w:szCs w:val="24"/>
          <w:lang w:val="en-US"/>
        </w:rPr>
        <w:t xml:space="preserve"> 207-218. https://doi.org/10.18461/ijfsd.v2i3.232</w:t>
      </w:r>
    </w:p>
    <w:p w14:paraId="333DB850"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Kamilaris, A., Fonts, A., &amp; Prenafeta-Boldú, F. X. (2019). The rise of blockchain technology in agriculture and food supp</w:t>
      </w:r>
      <w:r>
        <w:rPr>
          <w:rFonts w:ascii="Times New Roman" w:eastAsia="Times New Roman" w:hAnsi="Times New Roman" w:cs="Times New Roman"/>
          <w:sz w:val="24"/>
          <w:szCs w:val="24"/>
          <w:lang w:val="en-US"/>
        </w:rPr>
        <w:t xml:space="preserve">ly chains. </w:t>
      </w:r>
      <w:r>
        <w:rPr>
          <w:rFonts w:ascii="Times New Roman" w:eastAsia="Times New Roman" w:hAnsi="Times New Roman" w:cs="Times New Roman"/>
          <w:i/>
          <w:iCs/>
          <w:sz w:val="24"/>
          <w:szCs w:val="24"/>
          <w:lang w:val="en-US"/>
        </w:rPr>
        <w:t>Trends in Food Science &amp; Technology, 91,</w:t>
      </w:r>
      <w:r>
        <w:rPr>
          <w:rFonts w:ascii="Times New Roman" w:eastAsia="Times New Roman" w:hAnsi="Times New Roman" w:cs="Times New Roman"/>
          <w:sz w:val="24"/>
          <w:szCs w:val="24"/>
          <w:lang w:val="en-US"/>
        </w:rPr>
        <w:t xml:space="preserve"> 640-652. https://doi.org/10.1016/j.tifs.2019.07.034</w:t>
      </w:r>
    </w:p>
    <w:p w14:paraId="61D4B62B"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Klerkx, L., &amp; Rose, D. (2020). Dealing with the game-changing technologies of agriculture 4.0: How do we manage diversity and responsibility in food sys</w:t>
      </w:r>
      <w:r>
        <w:rPr>
          <w:rFonts w:ascii="Times New Roman" w:eastAsia="Times New Roman" w:hAnsi="Times New Roman" w:cs="Times New Roman"/>
          <w:sz w:val="24"/>
          <w:szCs w:val="24"/>
          <w:lang w:val="en-US"/>
        </w:rPr>
        <w:t xml:space="preserve">tem transition pathways? </w:t>
      </w:r>
      <w:r>
        <w:rPr>
          <w:rFonts w:ascii="Times New Roman" w:eastAsia="Times New Roman" w:hAnsi="Times New Roman" w:cs="Times New Roman"/>
          <w:i/>
          <w:iCs/>
          <w:sz w:val="24"/>
          <w:szCs w:val="24"/>
          <w:lang w:val="en-US"/>
        </w:rPr>
        <w:t>Global Food Security, 24,</w:t>
      </w:r>
      <w:r>
        <w:rPr>
          <w:rFonts w:ascii="Times New Roman" w:eastAsia="Times New Roman" w:hAnsi="Times New Roman" w:cs="Times New Roman"/>
          <w:sz w:val="24"/>
          <w:szCs w:val="24"/>
          <w:lang w:val="en-US"/>
        </w:rPr>
        <w:t xml:space="preserve"> 100347. https://doi.org/10.1016/j.gfs.2019.100347</w:t>
      </w:r>
    </w:p>
    <w:p w14:paraId="385D790C"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Koop, G., Szymańska, E., &amp; Holvoet, B. (2022). Nudging sustainable food choices: A field experiment. </w:t>
      </w:r>
      <w:r>
        <w:rPr>
          <w:rFonts w:ascii="Times New Roman" w:eastAsia="Times New Roman" w:hAnsi="Times New Roman" w:cs="Times New Roman"/>
          <w:i/>
          <w:iCs/>
          <w:sz w:val="24"/>
          <w:szCs w:val="24"/>
          <w:lang w:val="en-US"/>
        </w:rPr>
        <w:t>Food Policy, 109,</w:t>
      </w:r>
      <w:r>
        <w:rPr>
          <w:rFonts w:ascii="Times New Roman" w:eastAsia="Times New Roman" w:hAnsi="Times New Roman" w:cs="Times New Roman"/>
          <w:sz w:val="24"/>
          <w:szCs w:val="24"/>
          <w:lang w:val="en-US"/>
        </w:rPr>
        <w:t xml:space="preserve"> 102222. https://doi.org/10.1016/j.fo</w:t>
      </w:r>
      <w:r>
        <w:rPr>
          <w:rFonts w:ascii="Times New Roman" w:eastAsia="Times New Roman" w:hAnsi="Times New Roman" w:cs="Times New Roman"/>
          <w:sz w:val="24"/>
          <w:szCs w:val="24"/>
          <w:lang w:val="en-US"/>
        </w:rPr>
        <w:t>odpol.2022.102222</w:t>
      </w:r>
    </w:p>
    <w:p w14:paraId="74F98AA3"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Kshetri, N. (2018). 1 Blockchain’s roles in meeting key supply chain management objectives. </w:t>
      </w:r>
      <w:r>
        <w:rPr>
          <w:rFonts w:ascii="Times New Roman" w:eastAsia="Times New Roman" w:hAnsi="Times New Roman" w:cs="Times New Roman"/>
          <w:i/>
          <w:iCs/>
          <w:sz w:val="24"/>
          <w:szCs w:val="24"/>
          <w:lang w:val="en-US"/>
        </w:rPr>
        <w:t>International Journal of Information Management, 39,</w:t>
      </w:r>
      <w:r>
        <w:rPr>
          <w:rFonts w:ascii="Times New Roman" w:eastAsia="Times New Roman" w:hAnsi="Times New Roman" w:cs="Times New Roman"/>
          <w:sz w:val="24"/>
          <w:szCs w:val="24"/>
          <w:lang w:val="en-US"/>
        </w:rPr>
        <w:t xml:space="preserve"> 80-89. https://doi.org/10.1016/j.ijinfomgt.2017.12.005</w:t>
      </w:r>
    </w:p>
    <w:p w14:paraId="244881C8"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Lehner, M., Mont, O., &amp; Heiskanen, E. </w:t>
      </w:r>
      <w:r>
        <w:rPr>
          <w:rFonts w:ascii="Times New Roman" w:eastAsia="Times New Roman" w:hAnsi="Times New Roman" w:cs="Times New Roman"/>
          <w:sz w:val="24"/>
          <w:szCs w:val="24"/>
          <w:lang w:val="en-US"/>
        </w:rPr>
        <w:t xml:space="preserve">(2016). Nudging—A promising tool for sustainable consumption behaviour? </w:t>
      </w:r>
      <w:r>
        <w:rPr>
          <w:rFonts w:ascii="Times New Roman" w:eastAsia="Times New Roman" w:hAnsi="Times New Roman" w:cs="Times New Roman"/>
          <w:i/>
          <w:iCs/>
          <w:sz w:val="24"/>
          <w:szCs w:val="24"/>
          <w:lang w:val="en-US"/>
        </w:rPr>
        <w:t>Journal of Cleaner Production, 134,</w:t>
      </w:r>
      <w:r>
        <w:rPr>
          <w:rFonts w:ascii="Times New Roman" w:eastAsia="Times New Roman" w:hAnsi="Times New Roman" w:cs="Times New Roman"/>
          <w:sz w:val="24"/>
          <w:szCs w:val="24"/>
          <w:lang w:val="en-US"/>
        </w:rPr>
        <w:t xml:space="preserve"> 166-177. https://doi.org/10.1016/j.jclepro.2015.11.086</w:t>
      </w:r>
    </w:p>
    <w:p w14:paraId="0CA7A529"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Li, Z., Wang, Y., &amp; Chen, J. (2021). Intelligent food supply chains: Artificial intelligence </w:t>
      </w:r>
      <w:r>
        <w:rPr>
          <w:rFonts w:ascii="Times New Roman" w:eastAsia="Times New Roman" w:hAnsi="Times New Roman" w:cs="Times New Roman"/>
          <w:sz w:val="24"/>
          <w:szCs w:val="24"/>
          <w:lang w:val="en-US"/>
        </w:rPr>
        <w:t xml:space="preserve">applications for sustainability. </w:t>
      </w:r>
      <w:r>
        <w:rPr>
          <w:rFonts w:ascii="Times New Roman" w:eastAsia="Times New Roman" w:hAnsi="Times New Roman" w:cs="Times New Roman"/>
          <w:i/>
          <w:iCs/>
          <w:sz w:val="24"/>
          <w:szCs w:val="24"/>
          <w:lang w:val="en-US"/>
        </w:rPr>
        <w:t>Computers and Electronics in Agriculture, 189,</w:t>
      </w:r>
      <w:r>
        <w:rPr>
          <w:rFonts w:ascii="Times New Roman" w:eastAsia="Times New Roman" w:hAnsi="Times New Roman" w:cs="Times New Roman"/>
          <w:sz w:val="24"/>
          <w:szCs w:val="24"/>
          <w:lang w:val="en-US"/>
        </w:rPr>
        <w:t xml:space="preserve"> 106379. https://doi.org/10.1016/j.compag.2021.106379</w:t>
      </w:r>
    </w:p>
    <w:p w14:paraId="1677BEA9"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Lusk, J. L., &amp; Briggeman, B. C. (2009). Food values. </w:t>
      </w:r>
      <w:r>
        <w:rPr>
          <w:rFonts w:ascii="Times New Roman" w:eastAsia="Times New Roman" w:hAnsi="Times New Roman" w:cs="Times New Roman"/>
          <w:i/>
          <w:iCs/>
          <w:sz w:val="24"/>
          <w:szCs w:val="24"/>
          <w:lang w:val="en-US"/>
        </w:rPr>
        <w:t>American Journal of Agricultural Economics, 91(1),</w:t>
      </w:r>
      <w:r>
        <w:rPr>
          <w:rFonts w:ascii="Times New Roman" w:eastAsia="Times New Roman" w:hAnsi="Times New Roman" w:cs="Times New Roman"/>
          <w:sz w:val="24"/>
          <w:szCs w:val="24"/>
          <w:lang w:val="en-US"/>
        </w:rPr>
        <w:t xml:space="preserve"> 184-196. https://do</w:t>
      </w:r>
      <w:r>
        <w:rPr>
          <w:rFonts w:ascii="Times New Roman" w:eastAsia="Times New Roman" w:hAnsi="Times New Roman" w:cs="Times New Roman"/>
          <w:sz w:val="24"/>
          <w:szCs w:val="24"/>
          <w:lang w:val="en-US"/>
        </w:rPr>
        <w:t>i.org/10.1111/j.1467-8276.2008.01175.x</w:t>
      </w:r>
    </w:p>
    <w:p w14:paraId="0ADA05AE"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Lv, Z., Qiao, L., &amp; Zhao, Y. (2023). Blockchain and AI integration for food traceability and safety. </w:t>
      </w:r>
      <w:r>
        <w:rPr>
          <w:rFonts w:ascii="Times New Roman" w:eastAsia="Times New Roman" w:hAnsi="Times New Roman" w:cs="Times New Roman"/>
          <w:i/>
          <w:iCs/>
          <w:sz w:val="24"/>
          <w:szCs w:val="24"/>
          <w:lang w:val="en-US"/>
        </w:rPr>
        <w:t>Food Control, 147,</w:t>
      </w:r>
      <w:r>
        <w:rPr>
          <w:rFonts w:ascii="Times New Roman" w:eastAsia="Times New Roman" w:hAnsi="Times New Roman" w:cs="Times New Roman"/>
          <w:sz w:val="24"/>
          <w:szCs w:val="24"/>
          <w:lang w:val="en-US"/>
        </w:rPr>
        <w:t xml:space="preserve"> 109554. https://doi.org/10.1016/j.foodcont.2022.109554</w:t>
      </w:r>
    </w:p>
    <w:p w14:paraId="6918A519"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Mancini, M. C., &amp; Antonioli, F. (2019). Ex</w:t>
      </w:r>
      <w:r>
        <w:rPr>
          <w:rFonts w:ascii="Times New Roman" w:eastAsia="Times New Roman" w:hAnsi="Times New Roman" w:cs="Times New Roman"/>
          <w:sz w:val="24"/>
          <w:szCs w:val="24"/>
          <w:lang w:val="en-US"/>
        </w:rPr>
        <w:t xml:space="preserve">ploring consumers’ attitude towards food labelling and fraud. </w:t>
      </w:r>
      <w:r>
        <w:rPr>
          <w:rFonts w:ascii="Times New Roman" w:eastAsia="Times New Roman" w:hAnsi="Times New Roman" w:cs="Times New Roman"/>
          <w:i/>
          <w:iCs/>
          <w:sz w:val="24"/>
          <w:szCs w:val="24"/>
          <w:lang w:val="en-US"/>
        </w:rPr>
        <w:t>Food Control, 96,</w:t>
      </w:r>
      <w:r>
        <w:rPr>
          <w:rFonts w:ascii="Times New Roman" w:eastAsia="Times New Roman" w:hAnsi="Times New Roman" w:cs="Times New Roman"/>
          <w:sz w:val="24"/>
          <w:szCs w:val="24"/>
          <w:lang w:val="en-US"/>
        </w:rPr>
        <w:t xml:space="preserve"> 258-262. https://doi.org/10.1016/j.foodcont.2018.09.022</w:t>
      </w:r>
    </w:p>
    <w:p w14:paraId="71829575"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Manning, L., &amp; Soon, J. M. (2016). Developing systems to control food adulteration. </w:t>
      </w:r>
      <w:r>
        <w:rPr>
          <w:rFonts w:ascii="Times New Roman" w:eastAsia="Times New Roman" w:hAnsi="Times New Roman" w:cs="Times New Roman"/>
          <w:i/>
          <w:iCs/>
          <w:sz w:val="24"/>
          <w:szCs w:val="24"/>
          <w:lang w:val="en-US"/>
        </w:rPr>
        <w:t>Food Policy, 59,</w:t>
      </w:r>
      <w:r>
        <w:rPr>
          <w:rFonts w:ascii="Times New Roman" w:eastAsia="Times New Roman" w:hAnsi="Times New Roman" w:cs="Times New Roman"/>
          <w:sz w:val="24"/>
          <w:szCs w:val="24"/>
          <w:lang w:val="en-US"/>
        </w:rPr>
        <w:t xml:space="preserve"> 68-75. https://doi.</w:t>
      </w:r>
      <w:r>
        <w:rPr>
          <w:rFonts w:ascii="Times New Roman" w:eastAsia="Times New Roman" w:hAnsi="Times New Roman" w:cs="Times New Roman"/>
          <w:sz w:val="24"/>
          <w:szCs w:val="24"/>
          <w:lang w:val="en-US"/>
        </w:rPr>
        <w:t>org/10.1016/j.foodpol.2015.12.003</w:t>
      </w:r>
    </w:p>
    <w:p w14:paraId="39ACA07E"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Marimuthu, M., Paul, J., &amp; Raman, R. (2022). Technology adoption in agri-food supply chains: A TAM perspective. </w:t>
      </w:r>
      <w:r>
        <w:rPr>
          <w:rFonts w:ascii="Times New Roman" w:eastAsia="Times New Roman" w:hAnsi="Times New Roman" w:cs="Times New Roman"/>
          <w:i/>
          <w:iCs/>
          <w:sz w:val="24"/>
          <w:szCs w:val="24"/>
          <w:lang w:val="en-US"/>
        </w:rPr>
        <w:t>Technological Forecasting and Social Change, 177,</w:t>
      </w:r>
      <w:r>
        <w:rPr>
          <w:rFonts w:ascii="Times New Roman" w:eastAsia="Times New Roman" w:hAnsi="Times New Roman" w:cs="Times New Roman"/>
          <w:sz w:val="24"/>
          <w:szCs w:val="24"/>
          <w:lang w:val="en-US"/>
        </w:rPr>
        <w:t xml:space="preserve"> 121515. https://doi.org/10.1016/j.techfore.2022.121515</w:t>
      </w:r>
    </w:p>
    <w:p w14:paraId="2E95C656"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Miche</w:t>
      </w:r>
      <w:r>
        <w:rPr>
          <w:rFonts w:ascii="Times New Roman" w:eastAsia="Times New Roman" w:hAnsi="Times New Roman" w:cs="Times New Roman"/>
          <w:sz w:val="24"/>
          <w:szCs w:val="24"/>
          <w:lang w:val="en-US"/>
        </w:rPr>
        <w:t xml:space="preserve">letti, M., &amp; Stolle, D. (2007). Mobilizing consumers to save the planet: Toward collective consumerism. </w:t>
      </w:r>
      <w:r>
        <w:rPr>
          <w:rFonts w:ascii="Times New Roman" w:eastAsia="Times New Roman" w:hAnsi="Times New Roman" w:cs="Times New Roman"/>
          <w:i/>
          <w:iCs/>
          <w:sz w:val="24"/>
          <w:szCs w:val="24"/>
          <w:lang w:val="en-US"/>
        </w:rPr>
        <w:t>Annals of the American Academy of Political and Social Science, 611(1),</w:t>
      </w:r>
      <w:r>
        <w:rPr>
          <w:rFonts w:ascii="Times New Roman" w:eastAsia="Times New Roman" w:hAnsi="Times New Roman" w:cs="Times New Roman"/>
          <w:sz w:val="24"/>
          <w:szCs w:val="24"/>
          <w:lang w:val="en-US"/>
        </w:rPr>
        <w:t xml:space="preserve"> 157-175. https://doi.org/10.1177/0002716206298710</w:t>
      </w:r>
    </w:p>
    <w:p w14:paraId="42E68C70"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Moe, T. (1998). Perspectives on traceability in food manufacture. </w:t>
      </w:r>
      <w:r>
        <w:rPr>
          <w:rFonts w:ascii="Times New Roman" w:eastAsia="Times New Roman" w:hAnsi="Times New Roman" w:cs="Times New Roman"/>
          <w:i/>
          <w:iCs/>
          <w:sz w:val="24"/>
          <w:szCs w:val="24"/>
          <w:lang w:val="en-US"/>
        </w:rPr>
        <w:t>Trends in Food Science &amp; Technology, 9(5),</w:t>
      </w:r>
      <w:r>
        <w:rPr>
          <w:rFonts w:ascii="Times New Roman" w:eastAsia="Times New Roman" w:hAnsi="Times New Roman" w:cs="Times New Roman"/>
          <w:sz w:val="24"/>
          <w:szCs w:val="24"/>
          <w:lang w:val="en-US"/>
        </w:rPr>
        <w:t xml:space="preserve"> 211-214. https://doi.org/10.1016/S0924-2244(98)00037-5</w:t>
      </w:r>
    </w:p>
    <w:p w14:paraId="21A66B32"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sidRPr="003D1197">
        <w:rPr>
          <w:rFonts w:ascii="Times New Roman" w:eastAsia="Times New Roman" w:hAnsi="Times New Roman" w:cs="Times New Roman"/>
          <w:sz w:val="24"/>
          <w:szCs w:val="24"/>
          <w:lang w:val="en-US"/>
        </w:rPr>
        <w:t xml:space="preserve">Pires, Á. (1997). </w:t>
      </w:r>
      <w:r>
        <w:rPr>
          <w:rFonts w:ascii="Times New Roman" w:eastAsia="Times New Roman" w:hAnsi="Times New Roman" w:cs="Times New Roman"/>
          <w:i/>
          <w:iCs/>
          <w:sz w:val="24"/>
          <w:szCs w:val="24"/>
        </w:rPr>
        <w:t>Échantillonnage et recherche qualitative: Essai théorique et méthodologiqu</w:t>
      </w:r>
      <w:r>
        <w:rPr>
          <w:rFonts w:ascii="Times New Roman" w:eastAsia="Times New Roman" w:hAnsi="Times New Roman" w:cs="Times New Roman"/>
          <w:i/>
          <w:iCs/>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Montréal: Gaëtan Morin.</w:t>
      </w:r>
    </w:p>
    <w:p w14:paraId="086B3416"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Regattieri, A., Gamberi, M., &amp; Manzini, R. (2007). Traceability of food products: General framework and experimental evidence. </w:t>
      </w:r>
      <w:r>
        <w:rPr>
          <w:rFonts w:ascii="Times New Roman" w:eastAsia="Times New Roman" w:hAnsi="Times New Roman" w:cs="Times New Roman"/>
          <w:i/>
          <w:iCs/>
          <w:sz w:val="24"/>
          <w:szCs w:val="24"/>
          <w:lang w:val="en-US"/>
        </w:rPr>
        <w:t>Journal of Food Engineering, 81(2),</w:t>
      </w:r>
      <w:r>
        <w:rPr>
          <w:rFonts w:ascii="Times New Roman" w:eastAsia="Times New Roman" w:hAnsi="Times New Roman" w:cs="Times New Roman"/>
          <w:sz w:val="24"/>
          <w:szCs w:val="24"/>
          <w:lang w:val="en-US"/>
        </w:rPr>
        <w:t xml:space="preserve"> 347-356. https://doi.org/10.1016/j.jfoodeng.2006.10.032</w:t>
      </w:r>
    </w:p>
    <w:p w14:paraId="13B9D815"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Rejeb, A.,</w:t>
      </w:r>
      <w:r>
        <w:rPr>
          <w:rFonts w:ascii="Times New Roman" w:eastAsia="Times New Roman" w:hAnsi="Times New Roman" w:cs="Times New Roman"/>
          <w:sz w:val="24"/>
          <w:szCs w:val="24"/>
          <w:lang w:val="en-US"/>
        </w:rPr>
        <w:t xml:space="preserve"> Rejeb, K., &amp; Keogh, J. G. (2020). Blockchain technology in the smart city: A bibliometric review. </w:t>
      </w:r>
      <w:r>
        <w:rPr>
          <w:rFonts w:ascii="Times New Roman" w:eastAsia="Times New Roman" w:hAnsi="Times New Roman" w:cs="Times New Roman"/>
          <w:i/>
          <w:iCs/>
          <w:sz w:val="24"/>
          <w:szCs w:val="24"/>
          <w:lang w:val="en-US"/>
        </w:rPr>
        <w:t>Quality &amp; Quantity, 54,</w:t>
      </w:r>
      <w:r>
        <w:rPr>
          <w:rFonts w:ascii="Times New Roman" w:eastAsia="Times New Roman" w:hAnsi="Times New Roman" w:cs="Times New Roman"/>
          <w:sz w:val="24"/>
          <w:szCs w:val="24"/>
          <w:lang w:val="en-US"/>
        </w:rPr>
        <w:t xml:space="preserve"> 1305-1332. https://doi.org/10.1007/s11135-019-00914-4</w:t>
      </w:r>
    </w:p>
    <w:p w14:paraId="5BA357EC"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Rejeb, A., Rejeb, K., &amp; Keogh, J. G. (2021). How blockchain can impact food sup</w:t>
      </w:r>
      <w:r>
        <w:rPr>
          <w:rFonts w:ascii="Times New Roman" w:eastAsia="Times New Roman" w:hAnsi="Times New Roman" w:cs="Times New Roman"/>
          <w:sz w:val="24"/>
          <w:szCs w:val="24"/>
          <w:lang w:val="en-US"/>
        </w:rPr>
        <w:t xml:space="preserve">ply chain: A literature review. </w:t>
      </w:r>
      <w:r>
        <w:rPr>
          <w:rFonts w:ascii="Times New Roman" w:eastAsia="Times New Roman" w:hAnsi="Times New Roman" w:cs="Times New Roman"/>
          <w:i/>
          <w:iCs/>
          <w:sz w:val="24"/>
          <w:szCs w:val="24"/>
          <w:lang w:val="en-US"/>
        </w:rPr>
        <w:t>Technology in Society, 67,</w:t>
      </w:r>
      <w:r>
        <w:rPr>
          <w:rFonts w:ascii="Times New Roman" w:eastAsia="Times New Roman" w:hAnsi="Times New Roman" w:cs="Times New Roman"/>
          <w:sz w:val="24"/>
          <w:szCs w:val="24"/>
          <w:lang w:val="en-US"/>
        </w:rPr>
        <w:t xml:space="preserve"> 101784. https://doi.org/10.1016/j.techsoc.2021.101784</w:t>
      </w:r>
    </w:p>
    <w:p w14:paraId="2470DEB7"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Roth, A. V., Tsay, A. A., Pullman, M. E., &amp; Gray, J. V. (2008). Unraveling the food supply chain: Strategic insights from China and the 2007 re</w:t>
      </w:r>
      <w:r>
        <w:rPr>
          <w:rFonts w:ascii="Times New Roman" w:eastAsia="Times New Roman" w:hAnsi="Times New Roman" w:cs="Times New Roman"/>
          <w:sz w:val="24"/>
          <w:szCs w:val="24"/>
          <w:lang w:val="en-US"/>
        </w:rPr>
        <w:t xml:space="preserve">calls. </w:t>
      </w:r>
      <w:r>
        <w:rPr>
          <w:rFonts w:ascii="Times New Roman" w:eastAsia="Times New Roman" w:hAnsi="Times New Roman" w:cs="Times New Roman"/>
          <w:i/>
          <w:iCs/>
          <w:sz w:val="24"/>
          <w:szCs w:val="24"/>
          <w:lang w:val="en-US"/>
        </w:rPr>
        <w:t>Journal of Supply Chain Management, 44(1),</w:t>
      </w:r>
      <w:r>
        <w:rPr>
          <w:rFonts w:ascii="Times New Roman" w:eastAsia="Times New Roman" w:hAnsi="Times New Roman" w:cs="Times New Roman"/>
          <w:sz w:val="24"/>
          <w:szCs w:val="24"/>
          <w:lang w:val="en-US"/>
        </w:rPr>
        <w:t xml:space="preserve"> 22-39. https://doi.org/10.1111/j.1745-493X.2008.00043.x</w:t>
      </w:r>
    </w:p>
    <w:p w14:paraId="191CCE20"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Salah, K., Nizamuddin, N., Jayaraman, R., &amp; Omar, M. (2019). Blockchain-based soybean traceability in agricultural supply chain. </w:t>
      </w:r>
      <w:r>
        <w:rPr>
          <w:rFonts w:ascii="Times New Roman" w:eastAsia="Times New Roman" w:hAnsi="Times New Roman" w:cs="Times New Roman"/>
          <w:i/>
          <w:iCs/>
          <w:sz w:val="24"/>
          <w:szCs w:val="24"/>
          <w:lang w:val="en-US"/>
        </w:rPr>
        <w:t>IEEE Access, 7,</w:t>
      </w:r>
      <w:r>
        <w:rPr>
          <w:rFonts w:ascii="Times New Roman" w:eastAsia="Times New Roman" w:hAnsi="Times New Roman" w:cs="Times New Roman"/>
          <w:sz w:val="24"/>
          <w:szCs w:val="24"/>
          <w:lang w:val="en-US"/>
        </w:rPr>
        <w:t xml:space="preserve"> 73295</w:t>
      </w:r>
      <w:r>
        <w:rPr>
          <w:rFonts w:ascii="Times New Roman" w:eastAsia="Times New Roman" w:hAnsi="Times New Roman" w:cs="Times New Roman"/>
          <w:sz w:val="24"/>
          <w:szCs w:val="24"/>
          <w:lang w:val="en-US"/>
        </w:rPr>
        <w:t>-73305. https://doi.org/10.1109/ACCESS.2019.2918000</w:t>
      </w:r>
    </w:p>
    <w:p w14:paraId="011C6B95"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Schleenbecker, R., &amp; Hamm, U. (2013). Consumers’ perception of organic product characteristics. </w:t>
      </w:r>
      <w:r>
        <w:rPr>
          <w:rFonts w:ascii="Times New Roman" w:eastAsia="Times New Roman" w:hAnsi="Times New Roman" w:cs="Times New Roman"/>
          <w:i/>
          <w:iCs/>
          <w:sz w:val="24"/>
          <w:szCs w:val="24"/>
          <w:lang w:val="en-US"/>
        </w:rPr>
        <w:t>Appetite, 71,</w:t>
      </w:r>
      <w:r>
        <w:rPr>
          <w:rFonts w:ascii="Times New Roman" w:eastAsia="Times New Roman" w:hAnsi="Times New Roman" w:cs="Times New Roman"/>
          <w:sz w:val="24"/>
          <w:szCs w:val="24"/>
          <w:lang w:val="en-US"/>
        </w:rPr>
        <w:t xml:space="preserve"> 420-429. https://doi.org/10.1016/j.appet.2013.08.020</w:t>
      </w:r>
    </w:p>
    <w:p w14:paraId="3A57F152"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Thaler, R. H., &amp; Sunstein, C. R. (2008). </w:t>
      </w:r>
      <w:r>
        <w:rPr>
          <w:rFonts w:ascii="Times New Roman" w:eastAsia="Times New Roman" w:hAnsi="Times New Roman" w:cs="Times New Roman"/>
          <w:i/>
          <w:iCs/>
          <w:sz w:val="24"/>
          <w:szCs w:val="24"/>
          <w:lang w:val="en-US"/>
        </w:rPr>
        <w:t>Nudge: Improving decisions about health, wealth, and happiness</w:t>
      </w:r>
      <w:r>
        <w:rPr>
          <w:rFonts w:ascii="Times New Roman" w:eastAsia="Times New Roman" w:hAnsi="Times New Roman" w:cs="Times New Roman"/>
          <w:sz w:val="24"/>
          <w:szCs w:val="24"/>
          <w:lang w:val="en-US"/>
        </w:rPr>
        <w:t>. Yale University Press.</w:t>
      </w:r>
    </w:p>
    <w:p w14:paraId="5AD1A77D"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Tian, F. (2016). An agri-food supply chain traceability system for China based on RFID &amp; blockchain technology. </w:t>
      </w:r>
      <w:r>
        <w:rPr>
          <w:rFonts w:ascii="Times New Roman" w:eastAsia="Times New Roman" w:hAnsi="Times New Roman" w:cs="Times New Roman"/>
          <w:i/>
          <w:iCs/>
          <w:sz w:val="24"/>
          <w:szCs w:val="24"/>
          <w:lang w:val="en-US"/>
        </w:rPr>
        <w:t>13th International Conference on Service Systems and Serv</w:t>
      </w:r>
      <w:r>
        <w:rPr>
          <w:rFonts w:ascii="Times New Roman" w:eastAsia="Times New Roman" w:hAnsi="Times New Roman" w:cs="Times New Roman"/>
          <w:i/>
          <w:iCs/>
          <w:sz w:val="24"/>
          <w:szCs w:val="24"/>
          <w:lang w:val="en-US"/>
        </w:rPr>
        <w:t>ice Management (ICSSSM),</w:t>
      </w:r>
      <w:r>
        <w:rPr>
          <w:rFonts w:ascii="Times New Roman" w:eastAsia="Times New Roman" w:hAnsi="Times New Roman" w:cs="Times New Roman"/>
          <w:sz w:val="24"/>
          <w:szCs w:val="24"/>
          <w:lang w:val="en-US"/>
        </w:rPr>
        <w:t xml:space="preserve"> 1-6. https://doi.org/10.1109/ICSSSM.2016.7538424</w:t>
      </w:r>
    </w:p>
    <w:p w14:paraId="38133D67"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Tian, F. (2017). A supply chain traceability system for food safety based on HACCP, blockchain &amp; Internet of Things. </w:t>
      </w:r>
      <w:r>
        <w:rPr>
          <w:rFonts w:ascii="Times New Roman" w:eastAsia="Times New Roman" w:hAnsi="Times New Roman" w:cs="Times New Roman"/>
          <w:i/>
          <w:iCs/>
          <w:sz w:val="24"/>
          <w:szCs w:val="24"/>
          <w:lang w:val="en-US"/>
        </w:rPr>
        <w:t>2017 International Conference on Service Systems and Service Mana</w:t>
      </w:r>
      <w:r>
        <w:rPr>
          <w:rFonts w:ascii="Times New Roman" w:eastAsia="Times New Roman" w:hAnsi="Times New Roman" w:cs="Times New Roman"/>
          <w:i/>
          <w:iCs/>
          <w:sz w:val="24"/>
          <w:szCs w:val="24"/>
          <w:lang w:val="en-US"/>
        </w:rPr>
        <w:t>gement (ICSSSM),</w:t>
      </w:r>
      <w:r>
        <w:rPr>
          <w:rFonts w:ascii="Times New Roman" w:eastAsia="Times New Roman" w:hAnsi="Times New Roman" w:cs="Times New Roman"/>
          <w:sz w:val="24"/>
          <w:szCs w:val="24"/>
          <w:lang w:val="en-US"/>
        </w:rPr>
        <w:t xml:space="preserve"> 1-6. https://doi.org/10.1109/ICSSSM.2017.7996119</w:t>
      </w:r>
    </w:p>
    <w:p w14:paraId="55276DD6" w14:textId="77777777" w:rsidR="003C4935" w:rsidRPr="002E7BCE"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Verbeke, W. (2005). Agriculture and the food industry in the information age. </w:t>
      </w:r>
      <w:r>
        <w:rPr>
          <w:rFonts w:ascii="Times New Roman" w:eastAsia="Times New Roman" w:hAnsi="Times New Roman" w:cs="Times New Roman"/>
          <w:i/>
          <w:iCs/>
          <w:sz w:val="24"/>
          <w:szCs w:val="24"/>
          <w:lang w:val="en-US"/>
        </w:rPr>
        <w:t>European Review of Agricultural Economics, 32(3),</w:t>
      </w:r>
      <w:r>
        <w:rPr>
          <w:rFonts w:ascii="Times New Roman" w:eastAsia="Times New Roman" w:hAnsi="Times New Roman" w:cs="Times New Roman"/>
          <w:sz w:val="24"/>
          <w:szCs w:val="24"/>
          <w:lang w:val="en-US"/>
        </w:rPr>
        <w:t xml:space="preserve"> 347-368. https://doi.org/10.1093/eurrag/jbi017</w:t>
      </w:r>
    </w:p>
    <w:p w14:paraId="64AD8747"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Wirtz, J., Patterson, P., Kunz, W., Gruber, T., Lu, V. N., Paluch, S., &amp; Martins, A. (2019). Brave new world: Service robots in the frontline. </w:t>
      </w:r>
      <w:r>
        <w:rPr>
          <w:rFonts w:ascii="Times New Roman" w:eastAsia="Times New Roman" w:hAnsi="Times New Roman" w:cs="Times New Roman"/>
          <w:i/>
          <w:iCs/>
          <w:sz w:val="24"/>
          <w:szCs w:val="24"/>
          <w:lang w:val="en-US"/>
        </w:rPr>
        <w:t>Journal of Service Management, 30(3),</w:t>
      </w:r>
      <w:r>
        <w:rPr>
          <w:rFonts w:ascii="Times New Roman" w:eastAsia="Times New Roman" w:hAnsi="Times New Roman" w:cs="Times New Roman"/>
          <w:sz w:val="24"/>
          <w:szCs w:val="24"/>
          <w:lang w:val="en-US"/>
        </w:rPr>
        <w:t xml:space="preserve"> 449-482. https://doi.org/10.1108/JOSM-05-2018-0159</w:t>
      </w:r>
    </w:p>
    <w:p w14:paraId="702B9524" w14:textId="77777777" w:rsidR="003C4935" w:rsidRPr="003C4935" w:rsidRDefault="00A15298" w:rsidP="003C4935">
      <w:pPr>
        <w:spacing w:before="100" w:beforeAutospacing="1" w:after="100" w:afterAutospacing="1"/>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Wognum, P. M., Bremmers,</w:t>
      </w:r>
      <w:r>
        <w:rPr>
          <w:rFonts w:ascii="Times New Roman" w:eastAsia="Times New Roman" w:hAnsi="Times New Roman" w:cs="Times New Roman"/>
          <w:sz w:val="24"/>
          <w:szCs w:val="24"/>
          <w:lang w:val="en-US"/>
        </w:rPr>
        <w:t xml:space="preserve"> H., Trienekens, J. H., van der Vorst, J. G. A. J., &amp; Bloemhof, J. M. (2011). Systems for sustainability and transparency of food supply chains–Current status and challenges. </w:t>
      </w:r>
      <w:r>
        <w:rPr>
          <w:rFonts w:ascii="Times New Roman" w:eastAsia="Times New Roman" w:hAnsi="Times New Roman" w:cs="Times New Roman"/>
          <w:i/>
          <w:iCs/>
          <w:sz w:val="24"/>
          <w:szCs w:val="24"/>
          <w:lang w:val="en-US"/>
        </w:rPr>
        <w:t>Advanced Engineering Informatics, 25(1),</w:t>
      </w:r>
      <w:r>
        <w:rPr>
          <w:rFonts w:ascii="Times New Roman" w:eastAsia="Times New Roman" w:hAnsi="Times New Roman" w:cs="Times New Roman"/>
          <w:sz w:val="24"/>
          <w:szCs w:val="24"/>
          <w:lang w:val="en-US"/>
        </w:rPr>
        <w:t xml:space="preserve"> 65-76. https://doi.org/10.1016/j.aei.201</w:t>
      </w:r>
      <w:r>
        <w:rPr>
          <w:rFonts w:ascii="Times New Roman" w:eastAsia="Times New Roman" w:hAnsi="Times New Roman" w:cs="Times New Roman"/>
          <w:sz w:val="24"/>
          <w:szCs w:val="24"/>
          <w:lang w:val="en-US"/>
        </w:rPr>
        <w:t>0.06.001</w:t>
      </w:r>
    </w:p>
    <w:p w14:paraId="0AA11001" w14:textId="77777777" w:rsidR="00AA1100" w:rsidRDefault="00A15298">
      <w:pPr>
        <w:pStyle w:val="NormalWeb"/>
      </w:pPr>
      <w:r w:rsidRPr="003D1197">
        <w:rPr>
          <w:lang w:val="en-US"/>
        </w:rPr>
        <w:t xml:space="preserve">Zhang, X., Liu, S., Chen, X., Wang, L., Gao, B., &amp; Zhu, Q. (2020). Health information privacy concerns, antecedents, and information disclosure intention in online health communities. </w:t>
      </w:r>
      <w:r>
        <w:rPr>
          <w:i/>
          <w:iCs/>
        </w:rPr>
        <w:t>Information &amp; Management, 57(2),</w:t>
      </w:r>
      <w:r>
        <w:t xml:space="preserve"> 103147. https://doi.org/10.1016/j.im.20</w:t>
      </w:r>
      <w:r>
        <w:t>19.04.001</w:t>
      </w:r>
    </w:p>
    <w:p w14:paraId="53058AED" w14:textId="77777777" w:rsidR="003C4935" w:rsidRPr="003D1197" w:rsidRDefault="00A15298" w:rsidP="003C4935">
      <w:pPr>
        <w:spacing w:before="100" w:beforeAutospacing="1" w:after="100" w:afterAutospacing="1"/>
        <w:rPr>
          <w:rFonts w:ascii="Times New Roman" w:eastAsia="Times New Roman" w:hAnsi="Times New Roman" w:cs="Times New Roman"/>
          <w:sz w:val="24"/>
          <w:szCs w:val="24"/>
          <w:lang w:val="en-US"/>
        </w:rPr>
      </w:pPr>
      <w:proofErr w:type="spellStart"/>
      <w:r w:rsidRPr="003D1197">
        <w:rPr>
          <w:rFonts w:ascii="Times New Roman" w:eastAsia="Times New Roman" w:hAnsi="Times New Roman" w:cs="Times New Roman"/>
          <w:sz w:val="24"/>
          <w:szCs w:val="24"/>
        </w:rPr>
        <w:t>Zeithaml</w:t>
      </w:r>
      <w:proofErr w:type="spellEnd"/>
      <w:r w:rsidRPr="003D1197">
        <w:rPr>
          <w:rFonts w:ascii="Times New Roman" w:eastAsia="Times New Roman" w:hAnsi="Times New Roman" w:cs="Times New Roman"/>
          <w:sz w:val="24"/>
          <w:szCs w:val="24"/>
        </w:rPr>
        <w:t xml:space="preserve">, V. A. (1988). </w:t>
      </w:r>
      <w:r>
        <w:rPr>
          <w:rFonts w:ascii="Times New Roman" w:eastAsia="Times New Roman" w:hAnsi="Times New Roman" w:cs="Times New Roman"/>
          <w:sz w:val="24"/>
          <w:szCs w:val="24"/>
          <w:lang w:val="en-US"/>
        </w:rPr>
        <w:t xml:space="preserve">Consumer perceptions of price, quality, and value: A means–end model and synthesis of evidence. </w:t>
      </w:r>
      <w:r w:rsidRPr="003D1197">
        <w:rPr>
          <w:rFonts w:ascii="Times New Roman" w:eastAsia="Times New Roman" w:hAnsi="Times New Roman" w:cs="Times New Roman"/>
          <w:i/>
          <w:iCs/>
          <w:sz w:val="24"/>
          <w:szCs w:val="24"/>
          <w:lang w:val="en-US"/>
        </w:rPr>
        <w:t>Journal of Marketing, 52(3),</w:t>
      </w:r>
      <w:r w:rsidRPr="003D1197">
        <w:rPr>
          <w:rFonts w:ascii="Times New Roman" w:eastAsia="Times New Roman" w:hAnsi="Times New Roman" w:cs="Times New Roman"/>
          <w:sz w:val="24"/>
          <w:szCs w:val="24"/>
          <w:lang w:val="en-US"/>
        </w:rPr>
        <w:t xml:space="preserve"> 2-22. https://doi.org/10.1177/002224298805200302</w:t>
      </w:r>
    </w:p>
    <w:p w14:paraId="785FFE0B" w14:textId="77777777" w:rsidR="003E3CF5" w:rsidRPr="003D1197" w:rsidRDefault="00A15298" w:rsidP="00304CDF">
      <w:pPr>
        <w:pStyle w:val="NormalWeb"/>
        <w:rPr>
          <w:lang w:val="en-US"/>
        </w:rPr>
      </w:pPr>
      <w:r w:rsidRPr="003D1197">
        <w:rPr>
          <w:lang w:val="en-US"/>
        </w:rPr>
        <w:t xml:space="preserve">Creswell, J. W. (2013). </w:t>
      </w:r>
      <w:r w:rsidRPr="003D1197">
        <w:rPr>
          <w:i/>
          <w:iCs/>
          <w:lang w:val="en-US"/>
        </w:rPr>
        <w:t xml:space="preserve">Qualitative inquiry and </w:t>
      </w:r>
      <w:r w:rsidRPr="003D1197">
        <w:rPr>
          <w:i/>
          <w:iCs/>
          <w:lang w:val="en-US"/>
        </w:rPr>
        <w:t>research design: Choosing among five approaches</w:t>
      </w:r>
      <w:r w:rsidRPr="003D1197">
        <w:rPr>
          <w:lang w:val="en-US"/>
        </w:rPr>
        <w:t xml:space="preserve"> (3rd ed.). SAGE Publications.</w:t>
      </w:r>
    </w:p>
    <w:p w14:paraId="785FFE0C" w14:textId="77777777" w:rsidR="003E3CF5" w:rsidRPr="003D1197" w:rsidRDefault="00A15298" w:rsidP="00304CDF">
      <w:pPr>
        <w:pStyle w:val="NormalWeb"/>
        <w:rPr>
          <w:lang w:val="en-US"/>
        </w:rPr>
      </w:pPr>
      <w:r w:rsidRPr="003D1197">
        <w:rPr>
          <w:lang w:val="en-US"/>
        </w:rPr>
        <w:t xml:space="preserve">Eisenhardt, K. M. (1989). Building theories from case study research. </w:t>
      </w:r>
      <w:r w:rsidRPr="003D1197">
        <w:rPr>
          <w:i/>
          <w:iCs/>
          <w:lang w:val="en-US"/>
        </w:rPr>
        <w:t>Academy of Management Review, 14(4),</w:t>
      </w:r>
      <w:r w:rsidRPr="003D1197">
        <w:rPr>
          <w:lang w:val="en-US"/>
        </w:rPr>
        <w:t xml:space="preserve"> 532-550. https://doi.org/10.2307/258557</w:t>
      </w:r>
    </w:p>
    <w:p w14:paraId="785FFE0D" w14:textId="77777777" w:rsidR="003E3CF5" w:rsidRPr="003D1197" w:rsidRDefault="00A15298" w:rsidP="00304CDF">
      <w:pPr>
        <w:pStyle w:val="NormalWeb"/>
        <w:rPr>
          <w:lang w:val="en-US"/>
        </w:rPr>
      </w:pPr>
      <w:proofErr w:type="spellStart"/>
      <w:r w:rsidRPr="003D1197">
        <w:rPr>
          <w:lang w:val="en-US"/>
        </w:rPr>
        <w:lastRenderedPageBreak/>
        <w:t>Girod-Séville</w:t>
      </w:r>
      <w:proofErr w:type="spellEnd"/>
      <w:r w:rsidRPr="003D1197">
        <w:rPr>
          <w:lang w:val="en-US"/>
        </w:rPr>
        <w:t xml:space="preserve">, M., &amp; Perret, V. (1999). </w:t>
      </w:r>
      <w:r>
        <w:t xml:space="preserve">Fondements épistémologiques de la recherche. In R. A. Thiétart (Ed.), </w:t>
      </w:r>
      <w:r>
        <w:rPr>
          <w:i/>
          <w:iCs/>
        </w:rPr>
        <w:t>Méthodes de recherche en management</w:t>
      </w:r>
      <w:r>
        <w:t xml:space="preserve"> (pp. 13-33). </w:t>
      </w:r>
      <w:proofErr w:type="spellStart"/>
      <w:r w:rsidRPr="003D1197">
        <w:rPr>
          <w:lang w:val="en-US"/>
        </w:rPr>
        <w:t>Dunod</w:t>
      </w:r>
      <w:proofErr w:type="spellEnd"/>
      <w:r w:rsidRPr="003D1197">
        <w:rPr>
          <w:lang w:val="en-US"/>
        </w:rPr>
        <w:t>.</w:t>
      </w:r>
    </w:p>
    <w:p w14:paraId="785FFE0E" w14:textId="77777777" w:rsidR="003E3CF5" w:rsidRPr="003D1197" w:rsidRDefault="00A15298" w:rsidP="00304CDF">
      <w:pPr>
        <w:pStyle w:val="NormalWeb"/>
        <w:rPr>
          <w:lang w:val="en-US"/>
        </w:rPr>
      </w:pPr>
      <w:r w:rsidRPr="003D1197">
        <w:rPr>
          <w:lang w:val="en-US"/>
        </w:rPr>
        <w:t xml:space="preserve">Miles, M. B., &amp; Huberman, A. M. (1994). </w:t>
      </w:r>
      <w:r w:rsidRPr="003D1197">
        <w:rPr>
          <w:i/>
          <w:iCs/>
          <w:lang w:val="en-US"/>
        </w:rPr>
        <w:t>Qualitati</w:t>
      </w:r>
      <w:r w:rsidRPr="003D1197">
        <w:rPr>
          <w:i/>
          <w:iCs/>
          <w:lang w:val="en-US"/>
        </w:rPr>
        <w:t>ve data analysis: An expanded sourcebook</w:t>
      </w:r>
      <w:r w:rsidRPr="003D1197">
        <w:rPr>
          <w:lang w:val="en-US"/>
        </w:rPr>
        <w:t xml:space="preserve"> (2nd ed.). SAGE Publications.</w:t>
      </w:r>
    </w:p>
    <w:p w14:paraId="785FFE0F" w14:textId="77777777" w:rsidR="003E3CF5" w:rsidRPr="003D1197" w:rsidRDefault="00A15298" w:rsidP="00304CDF">
      <w:pPr>
        <w:pStyle w:val="NormalWeb"/>
        <w:rPr>
          <w:lang w:val="en-US"/>
        </w:rPr>
      </w:pPr>
      <w:r w:rsidRPr="003D1197">
        <w:rPr>
          <w:lang w:val="en-US"/>
        </w:rPr>
        <w:t xml:space="preserve">Nakamoto, S. (2008). Bitcoin: A peer-to-peer electronic cash system. </w:t>
      </w:r>
      <w:r w:rsidRPr="003D1197">
        <w:rPr>
          <w:i/>
          <w:iCs/>
          <w:lang w:val="en-US"/>
        </w:rPr>
        <w:t>White Paper.</w:t>
      </w:r>
      <w:r w:rsidRPr="003D1197">
        <w:rPr>
          <w:lang w:val="en-US"/>
        </w:rPr>
        <w:t xml:space="preserve"> https://bitcoin.org/bitcoin.pdf</w:t>
      </w:r>
    </w:p>
    <w:p w14:paraId="785FFE10" w14:textId="77777777" w:rsidR="003E3CF5" w:rsidRPr="003D1197" w:rsidRDefault="00A15298" w:rsidP="00304CDF">
      <w:pPr>
        <w:pStyle w:val="NormalWeb"/>
        <w:rPr>
          <w:lang w:val="en-US"/>
        </w:rPr>
      </w:pPr>
      <w:r w:rsidRPr="003D1197">
        <w:rPr>
          <w:lang w:val="en-US"/>
        </w:rPr>
        <w:t xml:space="preserve">Strauss, A., &amp; Corbin, J. (1998). </w:t>
      </w:r>
      <w:r w:rsidRPr="003D1197">
        <w:rPr>
          <w:i/>
          <w:iCs/>
          <w:lang w:val="en-US"/>
        </w:rPr>
        <w:t>Basics of qualitative research: Techn</w:t>
      </w:r>
      <w:r w:rsidRPr="003D1197">
        <w:rPr>
          <w:i/>
          <w:iCs/>
          <w:lang w:val="en-US"/>
        </w:rPr>
        <w:t>iques and procedures for developing grounded theory</w:t>
      </w:r>
      <w:r w:rsidRPr="003D1197">
        <w:rPr>
          <w:lang w:val="en-US"/>
        </w:rPr>
        <w:t xml:space="preserve"> (2nd ed.). SAGE Publications.</w:t>
      </w:r>
    </w:p>
    <w:p w14:paraId="785FFE11" w14:textId="77777777" w:rsidR="003E3CF5" w:rsidRPr="003D1197" w:rsidRDefault="00A15298" w:rsidP="00304CDF">
      <w:pPr>
        <w:pStyle w:val="NormalWeb"/>
        <w:rPr>
          <w:lang w:val="en-US"/>
        </w:rPr>
      </w:pPr>
      <w:r w:rsidRPr="003D1197">
        <w:rPr>
          <w:lang w:val="en-US"/>
        </w:rPr>
        <w:t xml:space="preserve">Swan, M. (2015). </w:t>
      </w:r>
      <w:r w:rsidRPr="003D1197">
        <w:rPr>
          <w:i/>
          <w:iCs/>
          <w:lang w:val="en-US"/>
        </w:rPr>
        <w:t>Blockchain: Blueprint for a new economy</w:t>
      </w:r>
      <w:r w:rsidRPr="003D1197">
        <w:rPr>
          <w:lang w:val="en-US"/>
        </w:rPr>
        <w:t>. O’Reilly Media.</w:t>
      </w:r>
    </w:p>
    <w:p w14:paraId="785FFE12" w14:textId="77777777" w:rsidR="003E3CF5" w:rsidRPr="003D1197" w:rsidRDefault="00A15298" w:rsidP="00304CDF">
      <w:pPr>
        <w:pStyle w:val="NormalWeb"/>
        <w:rPr>
          <w:lang w:val="en-US"/>
        </w:rPr>
      </w:pPr>
      <w:r w:rsidRPr="003D1197">
        <w:rPr>
          <w:lang w:val="en-US"/>
        </w:rPr>
        <w:t xml:space="preserve">Tapscott, D., &amp; Tapscott, A. (2016). </w:t>
      </w:r>
      <w:r w:rsidRPr="003D1197">
        <w:rPr>
          <w:i/>
          <w:iCs/>
          <w:lang w:val="en-US"/>
        </w:rPr>
        <w:t>Blockchain revolution: How the technology behind Bitcoin is cha</w:t>
      </w:r>
      <w:r w:rsidRPr="003D1197">
        <w:rPr>
          <w:i/>
          <w:iCs/>
          <w:lang w:val="en-US"/>
        </w:rPr>
        <w:t>nging money, business, and the world</w:t>
      </w:r>
      <w:r w:rsidRPr="003D1197">
        <w:rPr>
          <w:lang w:val="en-US"/>
        </w:rPr>
        <w:t>. Portfolio/Penguin.</w:t>
      </w:r>
    </w:p>
    <w:p w14:paraId="785FFE13" w14:textId="77777777" w:rsidR="003E3CF5" w:rsidRDefault="00A15298" w:rsidP="00304CDF">
      <w:pPr>
        <w:pStyle w:val="NormalWeb"/>
      </w:pPr>
      <w:r w:rsidRPr="003D1197">
        <w:rPr>
          <w:lang w:val="en-US"/>
        </w:rPr>
        <w:t xml:space="preserve">Yin, R. K. (2003). </w:t>
      </w:r>
      <w:r w:rsidRPr="003D1197">
        <w:rPr>
          <w:i/>
          <w:iCs/>
          <w:lang w:val="en-US"/>
        </w:rPr>
        <w:t>Case study research: Design and methods</w:t>
      </w:r>
      <w:r w:rsidRPr="003D1197">
        <w:rPr>
          <w:lang w:val="en-US"/>
        </w:rPr>
        <w:t xml:space="preserve"> (3rd ed.). </w:t>
      </w:r>
      <w:r>
        <w:t>SAGE Publications.</w:t>
      </w:r>
    </w:p>
    <w:p w14:paraId="785FFE0A" w14:textId="15A1BC06" w:rsidR="003E3CF5" w:rsidRDefault="00A15298" w:rsidP="00304CDF"/>
    <w:p w14:paraId="78B6E55A" w14:textId="1B89B039" w:rsidR="003E3CF5" w:rsidRDefault="00A15298" w:rsidP="00304CDF"/>
    <w:p w14:paraId="7A2530B5" w14:textId="77777777" w:rsidR="003E3CF5" w:rsidRDefault="00A15298" w:rsidP="003E3CF5">
      <w:pPr>
        <w:jc w:val="center"/>
        <w:rPr>
          <w:rFonts w:asciiTheme="majorBidi" w:hAnsiTheme="majorBidi" w:cstheme="majorBidi"/>
          <w:sz w:val="24"/>
          <w:szCs w:val="24"/>
        </w:rPr>
      </w:pPr>
    </w:p>
    <w:p w14:paraId="4F15DB29" w14:textId="00C58DD1" w:rsidR="003E3CF5" w:rsidRPr="00304CDF" w:rsidRDefault="00A15298" w:rsidP="0066430A">
      <w:pPr>
        <w:jc w:val="center"/>
      </w:pPr>
    </w:p>
    <w:sectPr w:rsidR="003E3CF5" w:rsidRPr="00304CDF" w:rsidSect="00F06905">
      <w:headerReference w:type="default" r:id="rId10"/>
      <w:footerReference w:type="default" r:id="rId11"/>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95BEB" w14:textId="77777777" w:rsidR="00A15298" w:rsidRDefault="00A15298" w:rsidP="00E946C4">
      <w:pPr>
        <w:spacing w:line="240" w:lineRule="auto"/>
      </w:pPr>
      <w:r>
        <w:separator/>
      </w:r>
    </w:p>
  </w:endnote>
  <w:endnote w:type="continuationSeparator" w:id="0">
    <w:p w14:paraId="42AD4C05" w14:textId="77777777" w:rsidR="00A15298" w:rsidRDefault="00A15298" w:rsidP="00E9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9828" w14:textId="4AC8D2A4"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14:paraId="709E2683" w14:textId="1F9E11A5"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t xml:space="preserve">             </w:t>
    </w:r>
    <w:r>
      <w:rPr>
        <w:rFonts w:ascii="Book Antiqua" w:hAnsi="Book Antiqua"/>
        <w:b/>
        <w:bCs/>
        <w:sz w:val="20"/>
        <w:szCs w:val="20"/>
      </w:rPr>
      <w:t xml:space="preserve">             </w:t>
    </w:r>
    <w:r w:rsidR="00F06905" w:rsidRPr="006F12F8">
      <w:rPr>
        <w:rFonts w:ascii="Book Antiqua" w:hAnsi="Book Antiqua"/>
        <w:b/>
        <w:bCs/>
        <w:sz w:val="20"/>
        <w:szCs w:val="20"/>
      </w:rPr>
      <w:t xml:space="preserve"> </w:t>
    </w:r>
    <w:r>
      <w:rPr>
        <w:rFonts w:ascii="Book Antiqua" w:hAnsi="Book Antiqua"/>
        <w:b/>
        <w:bCs/>
        <w:sz w:val="20"/>
        <w:szCs w:val="20"/>
      </w:rPr>
      <w:t xml:space="preserve">          </w:t>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 xml:space="preserve"> </w:t>
    </w:r>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F06905"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F06905" w:rsidRPr="00B0560A">
      <w:rPr>
        <w:rFonts w:ascii="Book Antiqua" w:hAnsi="Book Antiqua"/>
        <w:b/>
        <w:bCs/>
        <w:sz w:val="20"/>
        <w:szCs w:val="20"/>
      </w:rPr>
      <w:fldChar w:fldCharType="separate"/>
    </w:r>
    <w:r w:rsidR="00B55E22" w:rsidRPr="00B55E22">
      <w:rPr>
        <w:rFonts w:ascii="Book Antiqua" w:hAnsi="Book Antiqua"/>
        <w:b/>
        <w:noProof/>
        <w:sz w:val="20"/>
        <w:szCs w:val="20"/>
      </w:rPr>
      <w:t>1</w:t>
    </w:r>
    <w:r w:rsidR="00F06905" w:rsidRPr="00B0560A">
      <w:rPr>
        <w:rFonts w:ascii="Book Antiqua" w:hAnsi="Book Antiqua"/>
        <w:b/>
        <w:bCs/>
        <w:sz w:val="20"/>
        <w:szCs w:val="20"/>
      </w:rPr>
      <w:fldChar w:fldCharType="end"/>
    </w:r>
  </w:p>
  <w:p w14:paraId="7E3860A7" w14:textId="77777777" w:rsidR="00F06905" w:rsidRPr="006F12F8" w:rsidRDefault="00F06905" w:rsidP="00F0690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B39C5" w14:textId="77777777" w:rsidR="00A15298" w:rsidRDefault="00A15298" w:rsidP="00E946C4">
      <w:pPr>
        <w:spacing w:line="240" w:lineRule="auto"/>
      </w:pPr>
      <w:r>
        <w:separator/>
      </w:r>
    </w:p>
  </w:footnote>
  <w:footnote w:type="continuationSeparator" w:id="0">
    <w:p w14:paraId="219E3A92" w14:textId="77777777" w:rsidR="00A15298" w:rsidRDefault="00A15298" w:rsidP="00E9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AC92" w14:textId="12962213"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14:anchorId="40FC0B6F" wp14:editId="6E51C5B6">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14:paraId="65A25F45" w14:textId="21D67807"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14:paraId="5F55D3CE" w14:textId="0CE62081"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p>
  <w:p w14:paraId="7AAB78FF" w14:textId="35C52384" w:rsidR="00F06905" w:rsidRPr="002D6CAA" w:rsidRDefault="00F06905" w:rsidP="00F06905">
    <w:pPr>
      <w:tabs>
        <w:tab w:val="right" w:pos="9072"/>
      </w:tabs>
      <w:spacing w:line="276" w:lineRule="auto"/>
    </w:pPr>
    <w:r>
      <w:rPr>
        <w:rFonts w:ascii="Book Antiqua" w:hAnsi="Book Antiqua"/>
        <w:sz w:val="20"/>
      </w:rPr>
      <w:t xml:space="preserve">Volume </w:t>
    </w:r>
    <w:r w:rsidR="00065BD1">
      <w:rPr>
        <w:rFonts w:ascii="Book Antiqua" w:hAnsi="Book Antiqua"/>
        <w:sz w:val="20"/>
      </w:rPr>
      <w:t>xx</w:t>
    </w:r>
    <w:r>
      <w:rPr>
        <w:rFonts w:ascii="Book Antiqua" w:hAnsi="Book Antiqua"/>
        <w:sz w:val="20"/>
      </w:rPr>
      <w:t xml:space="preserve"> : Numéro </w:t>
    </w:r>
    <w:proofErr w:type="spellStart"/>
    <w:r w:rsidR="00065BD1">
      <w:rPr>
        <w:rFonts w:ascii="Book Antiqua" w:hAnsi="Book Antiqua"/>
        <w:sz w:val="20"/>
      </w:rPr>
      <w:t>yy</w:t>
    </w:r>
    <w:proofErr w:type="spellEnd"/>
    <w:r w:rsidRPr="00811527">
      <w:t xml:space="preserve">                                                         </w:t>
    </w:r>
    <w:r w:rsidRPr="00811527">
      <w:tab/>
    </w:r>
  </w:p>
  <w:p w14:paraId="1F4DD5CF" w14:textId="389A6A8E" w:rsidR="00F06905" w:rsidRPr="009A2F58" w:rsidRDefault="00F06905" w:rsidP="00F06905">
    <w:pPr>
      <w:pStyle w:val="En-tte"/>
      <w:spacing w:line="276" w:lineRule="auto"/>
      <w:ind w:left="-99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70512"/>
    <w:multiLevelType w:val="multilevel"/>
    <w:tmpl w:val="56F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373A20"/>
    <w:multiLevelType w:val="multilevel"/>
    <w:tmpl w:val="5762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60CE5"/>
    <w:multiLevelType w:val="multilevel"/>
    <w:tmpl w:val="A918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11E65"/>
    <w:multiLevelType w:val="multilevel"/>
    <w:tmpl w:val="80C4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D0210E"/>
    <w:multiLevelType w:val="multilevel"/>
    <w:tmpl w:val="B8FC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47F47"/>
    <w:multiLevelType w:val="multilevel"/>
    <w:tmpl w:val="22C079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6657BB"/>
    <w:multiLevelType w:val="multilevel"/>
    <w:tmpl w:val="B9C8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BB5EC2"/>
    <w:multiLevelType w:val="multilevel"/>
    <w:tmpl w:val="216C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2"/>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62E3"/>
    <w:rsid w:val="00254AF3"/>
    <w:rsid w:val="00256351"/>
    <w:rsid w:val="00264DA8"/>
    <w:rsid w:val="00265415"/>
    <w:rsid w:val="002674C0"/>
    <w:rsid w:val="00272A0B"/>
    <w:rsid w:val="00275820"/>
    <w:rsid w:val="00275D53"/>
    <w:rsid w:val="00276F4E"/>
    <w:rsid w:val="002824F6"/>
    <w:rsid w:val="00282DC3"/>
    <w:rsid w:val="00283B09"/>
    <w:rsid w:val="00285D30"/>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31574"/>
    <w:rsid w:val="00334148"/>
    <w:rsid w:val="003448C8"/>
    <w:rsid w:val="00346797"/>
    <w:rsid w:val="00365C87"/>
    <w:rsid w:val="003718DA"/>
    <w:rsid w:val="0037319A"/>
    <w:rsid w:val="003816D0"/>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197"/>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4488A"/>
    <w:rsid w:val="00444C7C"/>
    <w:rsid w:val="004556D6"/>
    <w:rsid w:val="00455C17"/>
    <w:rsid w:val="00460855"/>
    <w:rsid w:val="00463F94"/>
    <w:rsid w:val="00464DA9"/>
    <w:rsid w:val="00471D32"/>
    <w:rsid w:val="00473152"/>
    <w:rsid w:val="00473DCD"/>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E30"/>
    <w:rsid w:val="0075792B"/>
    <w:rsid w:val="00761937"/>
    <w:rsid w:val="007703B3"/>
    <w:rsid w:val="00772F29"/>
    <w:rsid w:val="00776C6D"/>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298"/>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6425"/>
    <w:rsid w:val="00AA4C3B"/>
    <w:rsid w:val="00AA7ABF"/>
    <w:rsid w:val="00AB117F"/>
    <w:rsid w:val="00AB3587"/>
    <w:rsid w:val="00AB645B"/>
    <w:rsid w:val="00AC05D9"/>
    <w:rsid w:val="00AC36E5"/>
    <w:rsid w:val="00AD080E"/>
    <w:rsid w:val="00AD3342"/>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168"/>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931"/>
    <w:rsid w:val="00FB266D"/>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95E4B"/>
  <w15:docId w15:val="{F2C35D2F-F434-49E8-8A70-FBE5939B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styleId="Mentionnonrsolue">
    <w:name w:val="Unresolved Mention"/>
    <w:basedOn w:val="Policepardfaut"/>
    <w:uiPriority w:val="99"/>
    <w:semiHidden/>
    <w:unhideWhenUsed/>
    <w:rsid w:val="004A525B"/>
    <w:rPr>
      <w:color w:val="605E5C"/>
      <w:shd w:val="clear" w:color="auto" w:fill="E1DFDD"/>
    </w:rPr>
  </w:style>
  <w:style w:type="paragraph" w:styleId="NormalWeb">
    <w:name w:val="Normal (Web)"/>
    <w:basedOn w:val="Normal"/>
    <w:uiPriority w:val="99"/>
    <w:unhideWhenUsed/>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8822</Words>
  <Characters>48522</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souhadouzi16@outlook.fr</cp:lastModifiedBy>
  <cp:revision>4</cp:revision>
  <cp:lastPrinted>2018-02-14T02:59:00Z</cp:lastPrinted>
  <dcterms:created xsi:type="dcterms:W3CDTF">2026-06-08T22:17:00Z</dcterms:created>
  <dcterms:modified xsi:type="dcterms:W3CDTF">2026-06-09T03:56:00Z</dcterms:modified>
</cp:coreProperties>
</file>